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B326" w14:textId="77777777" w:rsidR="007E6868" w:rsidRDefault="007E6868" w:rsidP="007E686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bookmarkStart w:id="0" w:name="_GoBack"/>
      <w:proofErr w:type="spellStart"/>
      <w:r>
        <w:rPr>
          <w:b/>
          <w:bCs/>
        </w:rPr>
        <w:t>Гидрогеодинамика</w:t>
      </w:r>
      <w:bookmarkEnd w:id="0"/>
      <w:proofErr w:type="spellEnd"/>
      <w:r>
        <w:rPr>
          <w:b/>
          <w:bCs/>
        </w:rPr>
        <w:t>»</w:t>
      </w:r>
    </w:p>
    <w:p w14:paraId="1A8A8B3A" w14:textId="77777777" w:rsidR="007E6868" w:rsidRPr="007F389A" w:rsidRDefault="007E6868" w:rsidP="007E686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5332"/>
      </w:tblGrid>
      <w:tr w:rsidR="007E6868" w:rsidRPr="0019369C" w14:paraId="1F497FC8" w14:textId="77777777" w:rsidTr="001320AE">
        <w:tc>
          <w:tcPr>
            <w:tcW w:w="4786" w:type="dxa"/>
            <w:shd w:val="clear" w:color="auto" w:fill="auto"/>
            <w:vAlign w:val="center"/>
          </w:tcPr>
          <w:p w14:paraId="500C026A" w14:textId="77777777" w:rsidR="007E6868" w:rsidRPr="0019369C" w:rsidRDefault="007E6868" w:rsidP="001320AE">
            <w:pPr>
              <w:rPr>
                <w:bCs/>
              </w:rPr>
            </w:pPr>
            <w:r w:rsidRPr="0019369C">
              <w:rPr>
                <w:bCs/>
              </w:rPr>
              <w:t xml:space="preserve">Место дисциплины </w:t>
            </w:r>
          </w:p>
          <w:p w14:paraId="77C58E3F" w14:textId="77777777" w:rsidR="007E6868" w:rsidRPr="0019369C" w:rsidRDefault="007E6868" w:rsidP="001320AE">
            <w:pPr>
              <w:rPr>
                <w:bCs/>
              </w:rPr>
            </w:pPr>
            <w:r w:rsidRPr="0019369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14:paraId="70EEFCBF" w14:textId="77777777" w:rsidR="007E6868" w:rsidRPr="0019369C" w:rsidRDefault="007E6868" w:rsidP="001320AE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</w:p>
          <w:p w14:paraId="1B6320F4" w14:textId="77777777" w:rsidR="007E6868" w:rsidRPr="0019369C" w:rsidRDefault="007E6868" w:rsidP="001320AE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14:paraId="44F3E3F7" w14:textId="77777777" w:rsidR="007E6868" w:rsidRDefault="007E6868" w:rsidP="001320AE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Специальност</w:t>
            </w:r>
            <w:r>
              <w:rPr>
                <w:bCs/>
              </w:rPr>
              <w:t>и</w:t>
            </w:r>
            <w:r w:rsidRPr="0019369C">
              <w:rPr>
                <w:bCs/>
              </w:rPr>
              <w:t xml:space="preserve">: </w:t>
            </w:r>
            <w:r w:rsidRPr="00460E1A">
              <w:rPr>
                <w:bCs/>
              </w:rPr>
              <w:t xml:space="preserve">1-51 01 01 </w:t>
            </w:r>
            <w:r>
              <w:rPr>
                <w:bCs/>
              </w:rPr>
              <w:t>«</w:t>
            </w:r>
            <w:r w:rsidRPr="00460E1A">
              <w:rPr>
                <w:bCs/>
              </w:rPr>
              <w:t>Геология и разведка месторождений полезных ископаемых</w:t>
            </w:r>
            <w:r>
              <w:rPr>
                <w:bCs/>
              </w:rPr>
              <w:t>»</w:t>
            </w:r>
            <w:r w:rsidRPr="00460E1A">
              <w:rPr>
                <w:bCs/>
              </w:rPr>
              <w:t xml:space="preserve"> </w:t>
            </w:r>
          </w:p>
          <w:p w14:paraId="5B7D64D4" w14:textId="77777777" w:rsidR="007E6868" w:rsidRDefault="007E6868" w:rsidP="001320AE">
            <w:pPr>
              <w:jc w:val="center"/>
              <w:rPr>
                <w:bCs/>
              </w:rPr>
            </w:pPr>
            <w:r>
              <w:rPr>
                <w:bCs/>
              </w:rPr>
              <w:t>Модуль дисциплин специализации.</w:t>
            </w:r>
          </w:p>
          <w:p w14:paraId="7491FAA5" w14:textId="77777777" w:rsidR="007E6868" w:rsidRPr="0019369C" w:rsidRDefault="007E6868" w:rsidP="001320AE">
            <w:pPr>
              <w:jc w:val="center"/>
              <w:rPr>
                <w:bCs/>
              </w:rPr>
            </w:pPr>
            <w:r>
              <w:rPr>
                <w:bCs/>
              </w:rPr>
              <w:t>Дисциплины специализации.</w:t>
            </w:r>
          </w:p>
        </w:tc>
      </w:tr>
      <w:tr w:rsidR="007E6868" w14:paraId="12D06C6E" w14:textId="77777777" w:rsidTr="001320AE">
        <w:tc>
          <w:tcPr>
            <w:tcW w:w="4786" w:type="dxa"/>
            <w:shd w:val="clear" w:color="auto" w:fill="auto"/>
            <w:vAlign w:val="center"/>
          </w:tcPr>
          <w:p w14:paraId="61B7EE9A" w14:textId="77777777" w:rsidR="007E6868" w:rsidRPr="0019369C" w:rsidRDefault="007E6868" w:rsidP="001320AE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14:paraId="684966B4" w14:textId="77777777" w:rsidR="007E6868" w:rsidRPr="0019369C" w:rsidRDefault="007E6868" w:rsidP="001320AE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62F602A5" w14:textId="77777777" w:rsidR="007E6868" w:rsidRPr="00DA741C" w:rsidRDefault="007E6868" w:rsidP="001320AE">
            <w:pPr>
              <w:tabs>
                <w:tab w:val="left" w:pos="426"/>
                <w:tab w:val="left" w:pos="1843"/>
              </w:tabs>
              <w:jc w:val="both"/>
            </w:pPr>
            <w:r w:rsidRPr="00DA741C">
              <w:t xml:space="preserve">Динамика подземных вод как фундамент специального гидрогеологического образования. Гидрогеологические задачи, решаемые с использованием методов динамики подземных вод. Необходимость схематизации гидрогеологической обстановки. Передача силовых воздействий в воде и породе. </w:t>
            </w:r>
            <w:proofErr w:type="spellStart"/>
            <w:r w:rsidRPr="00DA741C">
              <w:t>Гидрогеомеханический</w:t>
            </w:r>
            <w:proofErr w:type="spellEnd"/>
            <w:r w:rsidRPr="00DA741C">
              <w:t xml:space="preserve"> подход к динамике подземных вод. Необходимость использования дифференциальных уравнений. Параметрическое описание гидрогеодинамических условий. Основные свойства воды как жидкости. Закон Паскаля. Закон Гука. Закон Ньютона для сил вязкого трения в жидкости. Гидростатический и гидродинамический напоры. Уравнение Бернулли. Ламинарный и турбулентный режимы движения воды, число Рейнольдса. Напряжения в водонасыщенных горных породах, основной закон гидростатики.</w:t>
            </w:r>
          </w:p>
        </w:tc>
      </w:tr>
      <w:tr w:rsidR="007E6868" w14:paraId="31C72370" w14:textId="77777777" w:rsidTr="001320AE">
        <w:tc>
          <w:tcPr>
            <w:tcW w:w="4786" w:type="dxa"/>
            <w:shd w:val="clear" w:color="auto" w:fill="auto"/>
            <w:vAlign w:val="center"/>
          </w:tcPr>
          <w:p w14:paraId="60DC6E6F" w14:textId="77777777" w:rsidR="007E6868" w:rsidRPr="0019369C" w:rsidRDefault="007E6868" w:rsidP="001320AE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14:paraId="03857431" w14:textId="77777777" w:rsidR="007E6868" w:rsidRPr="00DA741C" w:rsidRDefault="007E6868" w:rsidP="001320AE">
            <w:pPr>
              <w:jc w:val="both"/>
            </w:pPr>
            <w:r w:rsidRPr="00DA741C">
              <w:t xml:space="preserve">Базовые профессиональные компетенции: Формирование устойчивого комплекса базовых знаний о количественных законах движения подземных вод, определяющих процессы </w:t>
            </w:r>
            <w:proofErr w:type="spellStart"/>
            <w:r w:rsidRPr="00DA741C">
              <w:t>геофильтрации</w:t>
            </w:r>
            <w:proofErr w:type="spellEnd"/>
            <w:r w:rsidRPr="00DA741C">
              <w:t xml:space="preserve"> и тепломассопереноса.</w:t>
            </w:r>
          </w:p>
        </w:tc>
      </w:tr>
      <w:tr w:rsidR="007E6868" w14:paraId="2E6C1FF3" w14:textId="77777777" w:rsidTr="001320AE">
        <w:tc>
          <w:tcPr>
            <w:tcW w:w="4786" w:type="dxa"/>
            <w:shd w:val="clear" w:color="auto" w:fill="auto"/>
            <w:vAlign w:val="center"/>
          </w:tcPr>
          <w:p w14:paraId="3FA75CE6" w14:textId="77777777" w:rsidR="007E6868" w:rsidRPr="0019369C" w:rsidRDefault="007E6868" w:rsidP="001320AE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14:paraId="12A3BBE6" w14:textId="77777777" w:rsidR="007E6868" w:rsidRDefault="007E6868" w:rsidP="001320AE">
            <w:pPr>
              <w:jc w:val="both"/>
            </w:pPr>
            <w:r>
              <w:t>Гидрогеология; Грунтоведение; Структурная геология; Геоморфология, Геологическая съемка и картографирование, Общая геология.</w:t>
            </w:r>
          </w:p>
        </w:tc>
      </w:tr>
      <w:tr w:rsidR="007E6868" w14:paraId="0BC4BDC7" w14:textId="77777777" w:rsidTr="001320AE">
        <w:tc>
          <w:tcPr>
            <w:tcW w:w="4786" w:type="dxa"/>
            <w:shd w:val="clear" w:color="auto" w:fill="auto"/>
            <w:vAlign w:val="center"/>
          </w:tcPr>
          <w:p w14:paraId="05128C5E" w14:textId="77777777" w:rsidR="007E6868" w:rsidRPr="0019369C" w:rsidRDefault="007E6868" w:rsidP="001320AE">
            <w:pPr>
              <w:rPr>
                <w:b/>
              </w:rPr>
            </w:pPr>
            <w:r w:rsidRPr="0019369C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14:paraId="339F9285" w14:textId="77777777" w:rsidR="007E6868" w:rsidRDefault="007E6868" w:rsidP="001320AE">
            <w:pPr>
              <w:jc w:val="both"/>
            </w:pPr>
            <w:r>
              <w:t>3 зачетные единицы</w:t>
            </w:r>
            <w:r w:rsidRPr="00777420">
              <w:t>,</w:t>
            </w:r>
            <w:r>
              <w:t xml:space="preserve"> 94 академических часов, из них: 42 аудиторных: 28 ч лекций и 14 ч лабораторных.</w:t>
            </w:r>
          </w:p>
        </w:tc>
      </w:tr>
      <w:tr w:rsidR="007E6868" w14:paraId="6B175F3A" w14:textId="77777777" w:rsidTr="001320AE">
        <w:tc>
          <w:tcPr>
            <w:tcW w:w="4786" w:type="dxa"/>
            <w:shd w:val="clear" w:color="auto" w:fill="auto"/>
            <w:vAlign w:val="center"/>
          </w:tcPr>
          <w:p w14:paraId="15B13D62" w14:textId="77777777" w:rsidR="007E6868" w:rsidRPr="0019369C" w:rsidRDefault="007E6868" w:rsidP="001320AE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B8C9405" w14:textId="77777777" w:rsidR="007E6868" w:rsidRDefault="007E6868" w:rsidP="001320AE">
            <w:r>
              <w:t>7-й семестр, контрольная работа, лабораторные работы, зачет.</w:t>
            </w:r>
          </w:p>
        </w:tc>
      </w:tr>
    </w:tbl>
    <w:p w14:paraId="7AAD24FC" w14:textId="77777777" w:rsidR="007E6868" w:rsidRPr="002B1EDB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5F70CD8F" w14:textId="77777777" w:rsidR="007E6868" w:rsidRPr="002B1EDB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058AC417" w14:textId="77777777" w:rsidR="007E6868" w:rsidRPr="002B1EDB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3791515D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5CEB40AA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481C9878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0C11FDDA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294447E6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3B8702C5" w14:textId="77777777" w:rsidR="007E6868" w:rsidRDefault="007E6868" w:rsidP="007E6868">
      <w:pPr>
        <w:pStyle w:val="a3"/>
        <w:tabs>
          <w:tab w:val="left" w:pos="567"/>
        </w:tabs>
        <w:spacing w:line="240" w:lineRule="auto"/>
        <w:ind w:firstLine="709"/>
      </w:pPr>
    </w:p>
    <w:p w14:paraId="0FDD709D" w14:textId="77777777" w:rsidR="007E6868" w:rsidRDefault="007E6868" w:rsidP="007E6868">
      <w:pPr>
        <w:shd w:val="clear" w:color="auto" w:fill="FFFFFF"/>
        <w:jc w:val="center"/>
        <w:rPr>
          <w:b/>
          <w:bCs/>
        </w:rPr>
      </w:pPr>
      <w:proofErr w:type="spellStart"/>
      <w:r w:rsidRPr="003842B3">
        <w:rPr>
          <w:b/>
          <w:bCs/>
        </w:rPr>
        <w:lastRenderedPageBreak/>
        <w:t>Academic</w:t>
      </w:r>
      <w:proofErr w:type="spellEnd"/>
      <w:r w:rsidRPr="003842B3">
        <w:rPr>
          <w:b/>
          <w:bCs/>
        </w:rPr>
        <w:t xml:space="preserve"> </w:t>
      </w:r>
      <w:proofErr w:type="spellStart"/>
      <w:r w:rsidRPr="003842B3">
        <w:rPr>
          <w:b/>
          <w:bCs/>
        </w:rPr>
        <w:t>discipline</w:t>
      </w:r>
      <w:proofErr w:type="spellEnd"/>
      <w:r w:rsidRPr="003842B3">
        <w:rPr>
          <w:b/>
          <w:bCs/>
        </w:rPr>
        <w:t xml:space="preserve"> </w:t>
      </w:r>
      <w:r>
        <w:rPr>
          <w:b/>
          <w:bCs/>
        </w:rPr>
        <w:t>«</w:t>
      </w:r>
      <w:proofErr w:type="spellStart"/>
      <w:r w:rsidRPr="003842B3">
        <w:rPr>
          <w:b/>
          <w:bCs/>
        </w:rPr>
        <w:t>Hydrogeodynamics</w:t>
      </w:r>
      <w:proofErr w:type="spellEnd"/>
      <w:r>
        <w:rPr>
          <w:b/>
          <w:bCs/>
        </w:rPr>
        <w:t>»</w:t>
      </w:r>
    </w:p>
    <w:p w14:paraId="3D35F45D" w14:textId="77777777" w:rsidR="007E6868" w:rsidRPr="007F389A" w:rsidRDefault="007E6868" w:rsidP="007E686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282"/>
      </w:tblGrid>
      <w:tr w:rsidR="007E6868" w:rsidRPr="00BE089E" w14:paraId="158A7327" w14:textId="77777777" w:rsidTr="001320AE">
        <w:tc>
          <w:tcPr>
            <w:tcW w:w="4164" w:type="dxa"/>
            <w:shd w:val="clear" w:color="auto" w:fill="auto"/>
            <w:vAlign w:val="center"/>
          </w:tcPr>
          <w:p w14:paraId="59EC7441" w14:textId="77777777" w:rsidR="007E6868" w:rsidRPr="007F3B55" w:rsidRDefault="007E6868" w:rsidP="001320AE">
            <w:pPr>
              <w:rPr>
                <w:bCs/>
                <w:lang w:val="en-US"/>
              </w:rPr>
            </w:pPr>
            <w:r w:rsidRPr="007F3B55">
              <w:rPr>
                <w:bCs/>
                <w:lang w:val="en-US"/>
              </w:rPr>
              <w:t>Place of discipline</w:t>
            </w:r>
          </w:p>
          <w:p w14:paraId="5F34C950" w14:textId="77777777" w:rsidR="007E6868" w:rsidRPr="008B4056" w:rsidRDefault="007E6868" w:rsidP="001320AE">
            <w:pPr>
              <w:rPr>
                <w:bCs/>
                <w:lang w:val="en-US"/>
              </w:rPr>
            </w:pPr>
            <w:r w:rsidRPr="00817494">
              <w:rPr>
                <w:bCs/>
                <w:lang w:val="en-US"/>
              </w:rPr>
              <w:t>in the structural diagram of the educational program</w:t>
            </w:r>
          </w:p>
        </w:tc>
        <w:tc>
          <w:tcPr>
            <w:tcW w:w="5407" w:type="dxa"/>
            <w:shd w:val="clear" w:color="auto" w:fill="auto"/>
          </w:tcPr>
          <w:p w14:paraId="071BEAE4" w14:textId="77777777" w:rsidR="007E6868" w:rsidRPr="003842B3" w:rsidRDefault="007E6868" w:rsidP="001320AE">
            <w:pPr>
              <w:jc w:val="center"/>
              <w:rPr>
                <w:bCs/>
                <w:lang w:val="en-US"/>
              </w:rPr>
            </w:pPr>
            <w:r w:rsidRPr="003842B3">
              <w:rPr>
                <w:bCs/>
                <w:lang w:val="en-US"/>
              </w:rPr>
              <w:t>Educational program</w:t>
            </w:r>
          </w:p>
          <w:p w14:paraId="550EE4B9" w14:textId="77777777" w:rsidR="007E6868" w:rsidRPr="003842B3" w:rsidRDefault="007E6868" w:rsidP="001320AE">
            <w:pPr>
              <w:jc w:val="center"/>
              <w:rPr>
                <w:bCs/>
                <w:lang w:val="en-US"/>
              </w:rPr>
            </w:pPr>
            <w:r w:rsidRPr="003842B3">
              <w:rPr>
                <w:bCs/>
                <w:lang w:val="en-US"/>
              </w:rPr>
              <w:t>(I stage of higher education)</w:t>
            </w:r>
          </w:p>
          <w:p w14:paraId="37697A61" w14:textId="77777777" w:rsidR="007E6868" w:rsidRPr="00AB70A2" w:rsidRDefault="007E6868" w:rsidP="001320AE">
            <w:pPr>
              <w:jc w:val="center"/>
              <w:rPr>
                <w:bCs/>
                <w:lang w:val="en-US"/>
              </w:rPr>
            </w:pPr>
            <w:r w:rsidRPr="003842B3">
              <w:rPr>
                <w:bCs/>
                <w:lang w:val="en-US"/>
              </w:rPr>
              <w:t xml:space="preserve">Specialties: 1-51 01 01 </w:t>
            </w:r>
            <w:r w:rsidRPr="00AB70A2">
              <w:rPr>
                <w:bCs/>
                <w:lang w:val="en-US"/>
              </w:rPr>
              <w:t>«</w:t>
            </w:r>
            <w:r w:rsidRPr="003842B3">
              <w:rPr>
                <w:bCs/>
                <w:lang w:val="en-US"/>
              </w:rPr>
              <w:t>Geology and exploration of mineral deposits</w:t>
            </w:r>
            <w:r w:rsidRPr="00AB70A2">
              <w:rPr>
                <w:bCs/>
                <w:lang w:val="en-US"/>
              </w:rPr>
              <w:t>»</w:t>
            </w:r>
          </w:p>
          <w:p w14:paraId="6488A7AA" w14:textId="77777777" w:rsidR="007E6868" w:rsidRPr="003842B3" w:rsidRDefault="007E6868" w:rsidP="001320AE">
            <w:pPr>
              <w:jc w:val="center"/>
              <w:rPr>
                <w:bCs/>
                <w:lang w:val="en-US"/>
              </w:rPr>
            </w:pPr>
            <w:r w:rsidRPr="003842B3">
              <w:rPr>
                <w:bCs/>
                <w:lang w:val="en-US"/>
              </w:rPr>
              <w:t>Module of specialization disciplines.</w:t>
            </w:r>
          </w:p>
          <w:p w14:paraId="69950916" w14:textId="77777777" w:rsidR="007E6868" w:rsidRPr="007A21A4" w:rsidRDefault="007E6868" w:rsidP="001320AE">
            <w:pPr>
              <w:jc w:val="center"/>
              <w:rPr>
                <w:bCs/>
                <w:lang w:val="en-US"/>
              </w:rPr>
            </w:pPr>
            <w:r w:rsidRPr="003842B3">
              <w:rPr>
                <w:bCs/>
                <w:lang w:val="en-US"/>
              </w:rPr>
              <w:t>Specialization disciplines.</w:t>
            </w:r>
          </w:p>
        </w:tc>
      </w:tr>
      <w:tr w:rsidR="007E6868" w:rsidRPr="00BE089E" w14:paraId="5CFD8044" w14:textId="77777777" w:rsidTr="001320AE">
        <w:tc>
          <w:tcPr>
            <w:tcW w:w="4164" w:type="dxa"/>
            <w:shd w:val="clear" w:color="auto" w:fill="auto"/>
            <w:vAlign w:val="center"/>
          </w:tcPr>
          <w:p w14:paraId="7B7050B1" w14:textId="77777777" w:rsidR="007E6868" w:rsidRPr="0019369C" w:rsidRDefault="007E6868" w:rsidP="001320AE">
            <w:pPr>
              <w:rPr>
                <w:b/>
              </w:rPr>
            </w:pPr>
            <w:proofErr w:type="spellStart"/>
            <w:r w:rsidRPr="00817494">
              <w:rPr>
                <w:b/>
              </w:rPr>
              <w:t>Summary</w:t>
            </w:r>
            <w:proofErr w:type="spellEnd"/>
            <w:r w:rsidRPr="0019369C">
              <w:rPr>
                <w:b/>
              </w:rPr>
              <w:t xml:space="preserve"> </w:t>
            </w:r>
          </w:p>
        </w:tc>
        <w:tc>
          <w:tcPr>
            <w:tcW w:w="5407" w:type="dxa"/>
            <w:shd w:val="clear" w:color="auto" w:fill="auto"/>
          </w:tcPr>
          <w:p w14:paraId="1ED498FA" w14:textId="77777777" w:rsidR="007E6868" w:rsidRPr="008B4056" w:rsidRDefault="007E6868" w:rsidP="001320AE">
            <w:pPr>
              <w:jc w:val="both"/>
              <w:rPr>
                <w:lang w:val="en-US"/>
              </w:rPr>
            </w:pPr>
            <w:r w:rsidRPr="003842B3">
              <w:rPr>
                <w:lang w:val="en-US"/>
              </w:rPr>
              <w:t xml:space="preserve">Groundwater dynamics as a foundation for specialized hydrogeological education. Hydrogeological problems solved using groundwater dynamics methods. Necessity to schematize the hydrogeological situation. Transfer of force effects in water and rock. </w:t>
            </w:r>
            <w:proofErr w:type="spellStart"/>
            <w:r w:rsidRPr="003842B3">
              <w:rPr>
                <w:lang w:val="en-US"/>
              </w:rPr>
              <w:t>Hydrogeomechanical</w:t>
            </w:r>
            <w:proofErr w:type="spellEnd"/>
            <w:r w:rsidRPr="003842B3">
              <w:rPr>
                <w:lang w:val="en-US"/>
              </w:rPr>
              <w:t xml:space="preserve"> approach to groundwater dynamics. Necessity to use differential equations. Parametric description of </w:t>
            </w:r>
            <w:proofErr w:type="spellStart"/>
            <w:r w:rsidRPr="003842B3">
              <w:rPr>
                <w:lang w:val="en-US"/>
              </w:rPr>
              <w:t>hydrogeodynamic</w:t>
            </w:r>
            <w:proofErr w:type="spellEnd"/>
            <w:r w:rsidRPr="003842B3">
              <w:rPr>
                <w:lang w:val="en-US"/>
              </w:rPr>
              <w:t xml:space="preserve"> conditions. Basic properties of water as a liquid. Pascal's law. Hooke's law. Newton's law for viscous friction forces in liquid. Hydrostatic and hydrodynamic heads. Bernoulli's equation. Laminar and turbulent modes of water motion, Reynolds number. Stresses in water-saturated rocks, the basic law of hydrostatics.</w:t>
            </w:r>
          </w:p>
        </w:tc>
      </w:tr>
      <w:tr w:rsidR="007E6868" w:rsidRPr="00BE089E" w14:paraId="57CCD831" w14:textId="77777777" w:rsidTr="001320AE">
        <w:tc>
          <w:tcPr>
            <w:tcW w:w="4164" w:type="dxa"/>
            <w:shd w:val="clear" w:color="auto" w:fill="auto"/>
            <w:vAlign w:val="center"/>
          </w:tcPr>
          <w:p w14:paraId="042E9B8E" w14:textId="77777777" w:rsidR="007E6868" w:rsidRPr="0019369C" w:rsidRDefault="007E6868" w:rsidP="001320AE">
            <w:pPr>
              <w:rPr>
                <w:b/>
              </w:rPr>
            </w:pPr>
            <w:proofErr w:type="spellStart"/>
            <w:r w:rsidRPr="00817494">
              <w:rPr>
                <w:b/>
              </w:rPr>
              <w:t>Developed</w:t>
            </w:r>
            <w:proofErr w:type="spellEnd"/>
            <w:r w:rsidRPr="00817494">
              <w:rPr>
                <w:b/>
              </w:rPr>
              <w:t xml:space="preserve"> </w:t>
            </w:r>
            <w:proofErr w:type="spellStart"/>
            <w:r w:rsidRPr="00817494">
              <w:rPr>
                <w:b/>
              </w:rPr>
              <w:t>competencies</w:t>
            </w:r>
            <w:proofErr w:type="spellEnd"/>
            <w:r w:rsidRPr="00817494">
              <w:rPr>
                <w:b/>
              </w:rPr>
              <w:t xml:space="preserve">, </w:t>
            </w:r>
            <w:proofErr w:type="spellStart"/>
            <w:r w:rsidRPr="00817494">
              <w:rPr>
                <w:b/>
              </w:rPr>
              <w:t>learning</w:t>
            </w:r>
            <w:proofErr w:type="spellEnd"/>
            <w:r w:rsidRPr="00817494">
              <w:rPr>
                <w:b/>
              </w:rPr>
              <w:t xml:space="preserve"> </w:t>
            </w:r>
            <w:proofErr w:type="spellStart"/>
            <w:r w:rsidRPr="00817494">
              <w:rPr>
                <w:b/>
              </w:rPr>
              <w:t>outcomes</w:t>
            </w:r>
            <w:proofErr w:type="spellEnd"/>
          </w:p>
        </w:tc>
        <w:tc>
          <w:tcPr>
            <w:tcW w:w="5407" w:type="dxa"/>
            <w:shd w:val="clear" w:color="auto" w:fill="auto"/>
          </w:tcPr>
          <w:p w14:paraId="0B124AD1" w14:textId="77777777" w:rsidR="007E6868" w:rsidRPr="008B4056" w:rsidRDefault="007E6868" w:rsidP="001320AE">
            <w:pPr>
              <w:jc w:val="both"/>
              <w:rPr>
                <w:lang w:val="en-US"/>
              </w:rPr>
            </w:pPr>
            <w:r w:rsidRPr="003842B3">
              <w:rPr>
                <w:lang w:val="en-US"/>
              </w:rPr>
              <w:t xml:space="preserve">Basic professional competencies: Formation of a stable set of basic knowledge about the quantitative laws of groundwater movement that determine the processes of </w:t>
            </w:r>
            <w:proofErr w:type="spellStart"/>
            <w:r w:rsidRPr="003842B3">
              <w:rPr>
                <w:lang w:val="en-US"/>
              </w:rPr>
              <w:t>geofiltration</w:t>
            </w:r>
            <w:proofErr w:type="spellEnd"/>
            <w:r w:rsidRPr="003842B3">
              <w:rPr>
                <w:lang w:val="en-US"/>
              </w:rPr>
              <w:t xml:space="preserve"> and heat and mass transfer.</w:t>
            </w:r>
          </w:p>
        </w:tc>
      </w:tr>
      <w:tr w:rsidR="007E6868" w:rsidRPr="00BE089E" w14:paraId="12579F74" w14:textId="77777777" w:rsidTr="001320AE">
        <w:tc>
          <w:tcPr>
            <w:tcW w:w="4164" w:type="dxa"/>
            <w:shd w:val="clear" w:color="auto" w:fill="auto"/>
            <w:vAlign w:val="center"/>
          </w:tcPr>
          <w:p w14:paraId="688EA657" w14:textId="77777777" w:rsidR="007E6868" w:rsidRPr="0019369C" w:rsidRDefault="007E6868" w:rsidP="001320AE">
            <w:pPr>
              <w:rPr>
                <w:b/>
              </w:rPr>
            </w:pPr>
            <w:proofErr w:type="spellStart"/>
            <w:r w:rsidRPr="00817494">
              <w:rPr>
                <w:b/>
              </w:rPr>
              <w:t>Prerequisites</w:t>
            </w:r>
            <w:proofErr w:type="spellEnd"/>
          </w:p>
        </w:tc>
        <w:tc>
          <w:tcPr>
            <w:tcW w:w="5407" w:type="dxa"/>
            <w:shd w:val="clear" w:color="auto" w:fill="auto"/>
          </w:tcPr>
          <w:p w14:paraId="43904FF1" w14:textId="77777777" w:rsidR="007E6868" w:rsidRPr="003842B3" w:rsidRDefault="007E6868" w:rsidP="001320AE">
            <w:pPr>
              <w:jc w:val="both"/>
              <w:rPr>
                <w:lang w:val="en-US"/>
              </w:rPr>
            </w:pPr>
            <w:r w:rsidRPr="003842B3">
              <w:rPr>
                <w:lang w:val="en-US"/>
              </w:rPr>
              <w:t>Hydrogeology; Soil science; Structural geology; Geomorphology, Geological survey and mapping, General geology.</w:t>
            </w:r>
          </w:p>
        </w:tc>
      </w:tr>
      <w:tr w:rsidR="007E6868" w:rsidRPr="00BE089E" w14:paraId="6DE7F1F2" w14:textId="77777777" w:rsidTr="001320AE">
        <w:tc>
          <w:tcPr>
            <w:tcW w:w="4164" w:type="dxa"/>
            <w:shd w:val="clear" w:color="auto" w:fill="auto"/>
            <w:vAlign w:val="center"/>
          </w:tcPr>
          <w:p w14:paraId="468CE2E2" w14:textId="77777777" w:rsidR="007E6868" w:rsidRPr="0019369C" w:rsidRDefault="007E6868" w:rsidP="001320AE">
            <w:pPr>
              <w:rPr>
                <w:b/>
              </w:rPr>
            </w:pPr>
            <w:proofErr w:type="spellStart"/>
            <w:r w:rsidRPr="00817494">
              <w:rPr>
                <w:b/>
              </w:rPr>
              <w:t>Labor</w:t>
            </w:r>
            <w:proofErr w:type="spellEnd"/>
            <w:r w:rsidRPr="00817494">
              <w:rPr>
                <w:b/>
              </w:rPr>
              <w:t xml:space="preserve"> </w:t>
            </w:r>
            <w:proofErr w:type="spellStart"/>
            <w:r w:rsidRPr="00817494">
              <w:rPr>
                <w:b/>
              </w:rPr>
              <w:t>intensity</w:t>
            </w:r>
            <w:proofErr w:type="spellEnd"/>
          </w:p>
        </w:tc>
        <w:tc>
          <w:tcPr>
            <w:tcW w:w="5407" w:type="dxa"/>
            <w:shd w:val="clear" w:color="auto" w:fill="auto"/>
          </w:tcPr>
          <w:p w14:paraId="25E8C55B" w14:textId="77777777" w:rsidR="007E6868" w:rsidRPr="00AB70A2" w:rsidRDefault="007E6868" w:rsidP="001320AE">
            <w:pPr>
              <w:jc w:val="both"/>
              <w:rPr>
                <w:lang w:val="en-US"/>
              </w:rPr>
            </w:pPr>
            <w:r w:rsidRPr="00AB70A2">
              <w:rPr>
                <w:lang w:val="en-US"/>
              </w:rPr>
              <w:t>3 credits, 94 academic hours, of which: 42 classroom hours: 28 hours of lectures and 14 hours of laboratory work.</w:t>
            </w:r>
          </w:p>
        </w:tc>
      </w:tr>
      <w:tr w:rsidR="007E6868" w:rsidRPr="00BE089E" w14:paraId="34F53568" w14:textId="77777777" w:rsidTr="001320AE">
        <w:tc>
          <w:tcPr>
            <w:tcW w:w="4164" w:type="dxa"/>
            <w:shd w:val="clear" w:color="auto" w:fill="auto"/>
            <w:vAlign w:val="center"/>
          </w:tcPr>
          <w:p w14:paraId="7639D276" w14:textId="77777777" w:rsidR="007E6868" w:rsidRPr="00817494" w:rsidRDefault="007E6868" w:rsidP="001320AE">
            <w:pPr>
              <w:rPr>
                <w:b/>
                <w:lang w:val="en-US"/>
              </w:rPr>
            </w:pPr>
            <w:r w:rsidRPr="00817494">
              <w:rPr>
                <w:b/>
                <w:lang w:val="en-US"/>
              </w:rPr>
              <w:t>Semester(s), requirements and forms of current and intermediate certification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234BFB52" w14:textId="77777777" w:rsidR="007E6868" w:rsidRPr="007A21A4" w:rsidRDefault="007E6868" w:rsidP="001320AE">
            <w:pPr>
              <w:rPr>
                <w:lang w:val="en-US"/>
              </w:rPr>
            </w:pPr>
            <w:r w:rsidRPr="00AB70A2">
              <w:rPr>
                <w:lang w:val="en-US"/>
              </w:rPr>
              <w:t>7th semester, test, laboratory work, credit.</w:t>
            </w:r>
          </w:p>
        </w:tc>
      </w:tr>
    </w:tbl>
    <w:p w14:paraId="3E0EAE99" w14:textId="77777777" w:rsidR="007E6868" w:rsidRPr="007A21A4" w:rsidRDefault="007E6868" w:rsidP="007E6868">
      <w:pPr>
        <w:ind w:firstLine="709"/>
        <w:jc w:val="both"/>
        <w:rPr>
          <w:sz w:val="28"/>
          <w:lang w:val="en-US"/>
        </w:rPr>
      </w:pPr>
    </w:p>
    <w:p w14:paraId="544CF8ED" w14:textId="77777777" w:rsidR="007E6868" w:rsidRPr="007A21A4" w:rsidRDefault="007E6868" w:rsidP="007E6868">
      <w:pPr>
        <w:ind w:firstLine="709"/>
        <w:jc w:val="both"/>
        <w:rPr>
          <w:sz w:val="28"/>
          <w:lang w:val="en-US"/>
        </w:rPr>
      </w:pPr>
    </w:p>
    <w:p w14:paraId="45820C98" w14:textId="77777777" w:rsidR="007E6868" w:rsidRPr="007E6868" w:rsidRDefault="007E6868" w:rsidP="007E6868">
      <w:pPr>
        <w:pStyle w:val="a3"/>
        <w:tabs>
          <w:tab w:val="left" w:pos="567"/>
        </w:tabs>
        <w:spacing w:line="240" w:lineRule="auto"/>
        <w:ind w:firstLine="709"/>
        <w:rPr>
          <w:lang w:val="en-US"/>
        </w:rPr>
      </w:pPr>
    </w:p>
    <w:p w14:paraId="2929F292" w14:textId="77777777" w:rsidR="007E6868" w:rsidRPr="007E6868" w:rsidRDefault="007E6868" w:rsidP="007E6868">
      <w:pPr>
        <w:pStyle w:val="a3"/>
        <w:tabs>
          <w:tab w:val="left" w:pos="567"/>
        </w:tabs>
        <w:spacing w:line="240" w:lineRule="auto"/>
        <w:ind w:firstLine="709"/>
        <w:rPr>
          <w:lang w:val="en-US"/>
        </w:rPr>
      </w:pPr>
    </w:p>
    <w:p w14:paraId="32B3D308" w14:textId="77777777" w:rsidR="00F1790B" w:rsidRPr="007E6868" w:rsidRDefault="00F1790B">
      <w:pPr>
        <w:rPr>
          <w:lang w:val="en-US"/>
        </w:rPr>
      </w:pPr>
    </w:p>
    <w:sectPr w:rsidR="00F1790B" w:rsidRPr="007E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D2"/>
    <w:rsid w:val="007E6868"/>
    <w:rsid w:val="00B301D2"/>
    <w:rsid w:val="00F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AA46B-36CC-430B-AA65-1B4D031C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868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E68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Shishkova</dc:creator>
  <cp:keywords/>
  <dc:description/>
  <cp:lastModifiedBy>Irina Shishkova</cp:lastModifiedBy>
  <cp:revision>2</cp:revision>
  <dcterms:created xsi:type="dcterms:W3CDTF">2025-01-27T07:42:00Z</dcterms:created>
  <dcterms:modified xsi:type="dcterms:W3CDTF">2025-01-27T07:45:00Z</dcterms:modified>
</cp:coreProperties>
</file>