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5A" w:rsidRDefault="0053535A" w:rsidP="0053535A">
      <w:pPr>
        <w:shd w:val="clear" w:color="auto" w:fill="FFFFFF"/>
        <w:jc w:val="center"/>
        <w:rPr>
          <w:b/>
          <w:bCs/>
        </w:rPr>
      </w:pPr>
      <w:r>
        <w:rPr>
          <w:b/>
          <w:bCs/>
        </w:rPr>
        <w:t>Учебная дисциплина «Топонимика»</w:t>
      </w:r>
    </w:p>
    <w:p w:rsidR="0053535A" w:rsidRPr="007F389A" w:rsidRDefault="0053535A" w:rsidP="0053535A">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53535A" w:rsidRPr="0019369C" w:rsidTr="00E41B11">
        <w:tc>
          <w:tcPr>
            <w:tcW w:w="3256" w:type="dxa"/>
            <w:shd w:val="clear" w:color="auto" w:fill="auto"/>
          </w:tcPr>
          <w:p w:rsidR="0053535A" w:rsidRPr="004F7522" w:rsidRDefault="0053535A" w:rsidP="00E41B11">
            <w:pPr>
              <w:rPr>
                <w:bCs/>
              </w:rPr>
            </w:pPr>
            <w:r w:rsidRPr="004F7522">
              <w:rPr>
                <w:bCs/>
              </w:rPr>
              <w:t xml:space="preserve">Место дисциплины </w:t>
            </w:r>
          </w:p>
          <w:p w:rsidR="0053535A" w:rsidRPr="004F7522" w:rsidRDefault="0053535A" w:rsidP="00E41B11">
            <w:pPr>
              <w:rPr>
                <w:bCs/>
              </w:rPr>
            </w:pPr>
            <w:r w:rsidRPr="004F7522">
              <w:rPr>
                <w:bCs/>
              </w:rPr>
              <w:t>в структурной схеме образовательной программы</w:t>
            </w:r>
          </w:p>
        </w:tc>
        <w:tc>
          <w:tcPr>
            <w:tcW w:w="6089" w:type="dxa"/>
            <w:shd w:val="clear" w:color="auto" w:fill="auto"/>
          </w:tcPr>
          <w:p w:rsidR="0053535A" w:rsidRPr="004F7522" w:rsidRDefault="0053535A" w:rsidP="00E41B11">
            <w:pPr>
              <w:jc w:val="center"/>
              <w:rPr>
                <w:bCs/>
              </w:rPr>
            </w:pPr>
            <w:r w:rsidRPr="004F7522">
              <w:rPr>
                <w:bCs/>
              </w:rPr>
              <w:t>Образовательная программа бакалавриата</w:t>
            </w:r>
          </w:p>
          <w:p w:rsidR="0053535A" w:rsidRPr="004F7522" w:rsidRDefault="0053535A" w:rsidP="00E41B11">
            <w:pPr>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53535A" w:rsidRDefault="0053535A" w:rsidP="00E41B11">
            <w:pPr>
              <w:autoSpaceDE w:val="0"/>
              <w:autoSpaceDN w:val="0"/>
              <w:adjustRightInd w:val="0"/>
              <w:jc w:val="center"/>
              <w:rPr>
                <w:b/>
              </w:rPr>
            </w:pPr>
            <w:r w:rsidRPr="004F7522">
              <w:rPr>
                <w:bCs/>
              </w:rPr>
              <w:t xml:space="preserve">Специальность: </w:t>
            </w:r>
            <w:r w:rsidRPr="004F7522">
              <w:t>6-05-0532-01 «География»</w:t>
            </w:r>
            <w:r w:rsidRPr="004F7522">
              <w:rPr>
                <w:b/>
              </w:rPr>
              <w:t xml:space="preserve"> </w:t>
            </w:r>
          </w:p>
          <w:p w:rsidR="0053535A" w:rsidRDefault="0053535A" w:rsidP="00E41B11">
            <w:pPr>
              <w:jc w:val="center"/>
              <w:rPr>
                <w:bCs/>
              </w:rPr>
            </w:pPr>
            <w:r>
              <w:rPr>
                <w:bCs/>
              </w:rPr>
              <w:t>Цикл дисциплин по выбору</w:t>
            </w:r>
          </w:p>
          <w:p w:rsidR="0053535A" w:rsidRPr="004F7522" w:rsidRDefault="0053535A" w:rsidP="00E41B11">
            <w:pPr>
              <w:jc w:val="center"/>
              <w:rPr>
                <w:bCs/>
              </w:rPr>
            </w:pPr>
            <w:r w:rsidRPr="004F7522">
              <w:rPr>
                <w:bCs/>
              </w:rPr>
              <w:t>Компонент</w:t>
            </w:r>
            <w:r>
              <w:rPr>
                <w:bCs/>
              </w:rPr>
              <w:t xml:space="preserve"> учреждения образования</w:t>
            </w:r>
            <w:r w:rsidRPr="004F7522">
              <w:rPr>
                <w:bCs/>
              </w:rPr>
              <w:t xml:space="preserve"> </w:t>
            </w:r>
          </w:p>
        </w:tc>
      </w:tr>
      <w:tr w:rsidR="0053535A" w:rsidTr="00E41B11">
        <w:tc>
          <w:tcPr>
            <w:tcW w:w="3256" w:type="dxa"/>
            <w:shd w:val="clear" w:color="auto" w:fill="auto"/>
          </w:tcPr>
          <w:p w:rsidR="0053535A" w:rsidRPr="004F7522" w:rsidRDefault="0053535A" w:rsidP="00E41B11">
            <w:pPr>
              <w:rPr>
                <w:b/>
              </w:rPr>
            </w:pPr>
            <w:r w:rsidRPr="004F7522">
              <w:rPr>
                <w:b/>
              </w:rPr>
              <w:t>Краткое содержание</w:t>
            </w:r>
          </w:p>
          <w:p w:rsidR="0053535A" w:rsidRPr="004F7522" w:rsidRDefault="0053535A" w:rsidP="00E41B11">
            <w:pPr>
              <w:rPr>
                <w:b/>
              </w:rPr>
            </w:pPr>
          </w:p>
        </w:tc>
        <w:tc>
          <w:tcPr>
            <w:tcW w:w="6089" w:type="dxa"/>
            <w:shd w:val="clear" w:color="auto" w:fill="auto"/>
          </w:tcPr>
          <w:p w:rsidR="0053535A" w:rsidRPr="004F7522" w:rsidRDefault="0053535A" w:rsidP="00E41B11">
            <w:pPr>
              <w:jc w:val="both"/>
            </w:pPr>
            <w:r>
              <w:t xml:space="preserve">   </w:t>
            </w:r>
            <w:r w:rsidRPr="0053535A">
              <w:t>Настоящая дисциплина – это систематизированные и обобщенные современные представления по проблемам общей топонимики и обзор современных направлений прикладных топонимических исследований топонимии Республики Беларусь и Гомельской области. Дисциплина «Топонимика» находится в тесной связи с такими учебными курсами, как  «Физическая география материков», «География Беларуси», «Физическая география России и сопредельных стран», «География Мирового океана».</w:t>
            </w:r>
          </w:p>
        </w:tc>
      </w:tr>
      <w:tr w:rsidR="0053535A" w:rsidTr="00E41B11">
        <w:tc>
          <w:tcPr>
            <w:tcW w:w="3256" w:type="dxa"/>
            <w:shd w:val="clear" w:color="auto" w:fill="auto"/>
          </w:tcPr>
          <w:p w:rsidR="0053535A" w:rsidRPr="004F7522" w:rsidRDefault="0053535A" w:rsidP="00E41B11">
            <w:pPr>
              <w:rPr>
                <w:b/>
              </w:rPr>
            </w:pPr>
            <w:r w:rsidRPr="004F7522">
              <w:rPr>
                <w:b/>
              </w:rPr>
              <w:t>Формируемые компетенции, результаты обучения</w:t>
            </w:r>
          </w:p>
        </w:tc>
        <w:tc>
          <w:tcPr>
            <w:tcW w:w="6089" w:type="dxa"/>
            <w:shd w:val="clear" w:color="auto" w:fill="auto"/>
          </w:tcPr>
          <w:p w:rsidR="00777223" w:rsidRDefault="00777223" w:rsidP="00777223">
            <w:pPr>
              <w:tabs>
                <w:tab w:val="left" w:pos="993"/>
              </w:tabs>
              <w:autoSpaceDE w:val="0"/>
              <w:autoSpaceDN w:val="0"/>
              <w:adjustRightInd w:val="0"/>
              <w:jc w:val="both"/>
            </w:pPr>
            <w:r>
              <w:t>Базовые профессиональные компетенции:</w:t>
            </w:r>
          </w:p>
          <w:p w:rsidR="00D01382" w:rsidRDefault="00D01382" w:rsidP="00D01382">
            <w:pPr>
              <w:tabs>
                <w:tab w:val="left" w:pos="993"/>
              </w:tabs>
              <w:autoSpaceDE w:val="0"/>
              <w:autoSpaceDN w:val="0"/>
              <w:adjustRightInd w:val="0"/>
              <w:jc w:val="both"/>
            </w:pPr>
            <w:r>
              <w:t xml:space="preserve">   </w:t>
            </w:r>
            <w:r w:rsidRPr="00D01382">
              <w:rPr>
                <w:b/>
                <w:i/>
              </w:rPr>
              <w:t>знать:</w:t>
            </w:r>
            <w:r>
              <w:t xml:space="preserve"> географические названия (топонимы), их значение, структуру, происхождение и ареал распространения; основные факторы и условия формирования, заимствования и переименования географических названий</w:t>
            </w:r>
          </w:p>
          <w:p w:rsidR="00D01382" w:rsidRPr="00D01382" w:rsidRDefault="00D01382" w:rsidP="00D01382">
            <w:pPr>
              <w:tabs>
                <w:tab w:val="left" w:pos="993"/>
              </w:tabs>
              <w:autoSpaceDE w:val="0"/>
              <w:autoSpaceDN w:val="0"/>
              <w:adjustRightInd w:val="0"/>
              <w:jc w:val="both"/>
              <w:rPr>
                <w:b/>
                <w:i/>
              </w:rPr>
            </w:pPr>
            <w:r>
              <w:t xml:space="preserve">    </w:t>
            </w:r>
            <w:r>
              <w:rPr>
                <w:b/>
                <w:i/>
              </w:rPr>
              <w:t xml:space="preserve">уметь: </w:t>
            </w:r>
            <w:r>
              <w:t>ориентироваться в общей географической и специальной топонимической терминологии</w:t>
            </w:r>
            <w:r>
              <w:rPr>
                <w:b/>
                <w:i/>
              </w:rPr>
              <w:t xml:space="preserve"> </w:t>
            </w:r>
            <w:r>
              <w:t>(макро- и микротопонимия, топонимический: ландшафт, спектр, фон, формант, тип, пласт,</w:t>
            </w:r>
            <w:r>
              <w:rPr>
                <w:b/>
                <w:i/>
              </w:rPr>
              <w:t xml:space="preserve"> </w:t>
            </w:r>
            <w:r>
              <w:t>этимология и др.), классификации и типах передачи географических названий, во временных и</w:t>
            </w:r>
            <w:r>
              <w:rPr>
                <w:b/>
                <w:i/>
              </w:rPr>
              <w:t xml:space="preserve"> </w:t>
            </w:r>
            <w:r>
              <w:t>пространственных аспектах развития топонимики как научного направления на стыке</w:t>
            </w:r>
          </w:p>
          <w:p w:rsidR="00D01382" w:rsidRDefault="00D01382" w:rsidP="00D01382">
            <w:pPr>
              <w:tabs>
                <w:tab w:val="left" w:pos="993"/>
              </w:tabs>
              <w:autoSpaceDE w:val="0"/>
              <w:autoSpaceDN w:val="0"/>
              <w:adjustRightInd w:val="0"/>
              <w:jc w:val="both"/>
            </w:pPr>
            <w:r>
              <w:t>нескольких наук</w:t>
            </w:r>
          </w:p>
          <w:p w:rsidR="0053535A" w:rsidRPr="00777223" w:rsidRDefault="00D01382" w:rsidP="00D01382">
            <w:pPr>
              <w:tabs>
                <w:tab w:val="left" w:pos="993"/>
              </w:tabs>
              <w:autoSpaceDE w:val="0"/>
              <w:autoSpaceDN w:val="0"/>
              <w:adjustRightInd w:val="0"/>
              <w:jc w:val="both"/>
            </w:pPr>
            <w:r>
              <w:t xml:space="preserve">     </w:t>
            </w:r>
            <w:r w:rsidRPr="00D01382">
              <w:rPr>
                <w:b/>
                <w:i/>
              </w:rPr>
              <w:t>владеть:</w:t>
            </w:r>
            <w:r>
              <w:t xml:space="preserve"> навыками практической работы по созданию информационных баз данных и проведению частного регионального районирования</w:t>
            </w:r>
          </w:p>
        </w:tc>
      </w:tr>
      <w:tr w:rsidR="0053535A" w:rsidTr="00E41B11">
        <w:tc>
          <w:tcPr>
            <w:tcW w:w="3256" w:type="dxa"/>
            <w:shd w:val="clear" w:color="auto" w:fill="auto"/>
          </w:tcPr>
          <w:p w:rsidR="0053535A" w:rsidRPr="004F7522" w:rsidRDefault="0053535A" w:rsidP="00E41B11">
            <w:pPr>
              <w:rPr>
                <w:b/>
              </w:rPr>
            </w:pPr>
            <w:r w:rsidRPr="004F7522">
              <w:rPr>
                <w:b/>
              </w:rPr>
              <w:t>Пререквизиты</w:t>
            </w:r>
          </w:p>
        </w:tc>
        <w:tc>
          <w:tcPr>
            <w:tcW w:w="6089" w:type="dxa"/>
            <w:shd w:val="clear" w:color="auto" w:fill="auto"/>
          </w:tcPr>
          <w:p w:rsidR="0053535A" w:rsidRPr="004F7522" w:rsidRDefault="0053535A" w:rsidP="00E41B11">
            <w:pPr>
              <w:jc w:val="both"/>
            </w:pPr>
            <w:r w:rsidRPr="0053535A">
              <w:t>«Физическая география материков», «География Беларуси», «Физическая география России и сопредельных стра</w:t>
            </w:r>
            <w:r>
              <w:t>н», «География Мирового океана»</w:t>
            </w:r>
          </w:p>
        </w:tc>
      </w:tr>
      <w:tr w:rsidR="0053535A" w:rsidTr="00E41B11">
        <w:tc>
          <w:tcPr>
            <w:tcW w:w="3256" w:type="dxa"/>
            <w:shd w:val="clear" w:color="auto" w:fill="auto"/>
          </w:tcPr>
          <w:p w:rsidR="0053535A" w:rsidRPr="004F7522" w:rsidRDefault="0053535A" w:rsidP="00E41B11">
            <w:pPr>
              <w:rPr>
                <w:b/>
              </w:rPr>
            </w:pPr>
            <w:r w:rsidRPr="004F7522">
              <w:rPr>
                <w:b/>
              </w:rPr>
              <w:t>Трудоемкость</w:t>
            </w:r>
          </w:p>
        </w:tc>
        <w:tc>
          <w:tcPr>
            <w:tcW w:w="6089" w:type="dxa"/>
            <w:shd w:val="clear" w:color="auto" w:fill="auto"/>
          </w:tcPr>
          <w:p w:rsidR="0053535A" w:rsidRPr="0043036F" w:rsidRDefault="0053535A" w:rsidP="00E41B11">
            <w:pPr>
              <w:shd w:val="clear" w:color="auto" w:fill="FFFFFF"/>
              <w:jc w:val="both"/>
              <w:rPr>
                <w:spacing w:val="-2"/>
                <w:szCs w:val="28"/>
              </w:rPr>
            </w:pPr>
            <w:r w:rsidRPr="0053535A">
              <w:rPr>
                <w:spacing w:val="-2"/>
                <w:szCs w:val="28"/>
              </w:rPr>
              <w:t>Общее количество часов – 60 часов (зачетных единиц – 1,5); аудиторное количество часов – 34, из них: лекции – 18 (в том числе УСР – 6 часов),  практические занятия – 16 часов. Форма отчётности – зачет.</w:t>
            </w:r>
          </w:p>
        </w:tc>
      </w:tr>
      <w:tr w:rsidR="0053535A" w:rsidTr="00E41B11">
        <w:tc>
          <w:tcPr>
            <w:tcW w:w="3256" w:type="dxa"/>
            <w:shd w:val="clear" w:color="auto" w:fill="auto"/>
          </w:tcPr>
          <w:p w:rsidR="0053535A" w:rsidRPr="004F7522" w:rsidRDefault="0053535A" w:rsidP="00E41B11">
            <w:pPr>
              <w:rPr>
                <w:b/>
              </w:rPr>
            </w:pPr>
            <w:r w:rsidRPr="004F7522">
              <w:rPr>
                <w:b/>
              </w:rPr>
              <w:t>Семестр(ы), требования и формы текущей и промежуточной аттестации</w:t>
            </w:r>
          </w:p>
        </w:tc>
        <w:tc>
          <w:tcPr>
            <w:tcW w:w="6089" w:type="dxa"/>
            <w:shd w:val="clear" w:color="auto" w:fill="auto"/>
          </w:tcPr>
          <w:p w:rsidR="0053535A" w:rsidRPr="0043036F" w:rsidRDefault="0053535A" w:rsidP="0053535A">
            <w:pPr>
              <w:jc w:val="both"/>
            </w:pPr>
            <w:r w:rsidRPr="002B73D6">
              <w:rPr>
                <w:spacing w:val="-2"/>
                <w:szCs w:val="28"/>
              </w:rPr>
              <w:t xml:space="preserve">Форма промежуточной аттестации – контрольная работа. Форма текущей аттестации </w:t>
            </w:r>
            <w:r>
              <w:rPr>
                <w:spacing w:val="-2"/>
                <w:szCs w:val="28"/>
              </w:rPr>
              <w:t>– зачет в 8</w:t>
            </w:r>
            <w:r w:rsidRPr="002B73D6">
              <w:rPr>
                <w:spacing w:val="-2"/>
                <w:szCs w:val="28"/>
              </w:rPr>
              <w:t xml:space="preserve"> семестре.</w:t>
            </w:r>
          </w:p>
        </w:tc>
      </w:tr>
    </w:tbl>
    <w:p w:rsidR="0053535A" w:rsidRDefault="0053535A" w:rsidP="0053535A">
      <w:pPr>
        <w:ind w:left="1575" w:firstLine="3465"/>
        <w:jc w:val="both"/>
        <w:rPr>
          <w:color w:val="000000"/>
          <w:sz w:val="28"/>
          <w:szCs w:val="28"/>
        </w:rPr>
      </w:pPr>
    </w:p>
    <w:p w:rsidR="008913F6" w:rsidRDefault="008913F6" w:rsidP="0053535A">
      <w:pPr>
        <w:shd w:val="clear" w:color="auto" w:fill="FFFFFF"/>
        <w:jc w:val="center"/>
        <w:rPr>
          <w:b/>
          <w:bCs/>
          <w:sz w:val="28"/>
          <w:szCs w:val="28"/>
        </w:rPr>
      </w:pPr>
    </w:p>
    <w:p w:rsidR="008913F6" w:rsidRDefault="008913F6" w:rsidP="0053535A">
      <w:pPr>
        <w:shd w:val="clear" w:color="auto" w:fill="FFFFFF"/>
        <w:jc w:val="center"/>
        <w:rPr>
          <w:b/>
          <w:bCs/>
          <w:sz w:val="28"/>
          <w:szCs w:val="28"/>
        </w:rPr>
      </w:pPr>
    </w:p>
    <w:p w:rsidR="008913F6" w:rsidRDefault="008913F6" w:rsidP="0053535A">
      <w:pPr>
        <w:shd w:val="clear" w:color="auto" w:fill="FFFFFF"/>
        <w:jc w:val="center"/>
        <w:rPr>
          <w:b/>
          <w:bCs/>
          <w:sz w:val="28"/>
          <w:szCs w:val="28"/>
        </w:rPr>
      </w:pPr>
    </w:p>
    <w:p w:rsidR="008913F6" w:rsidRDefault="008913F6" w:rsidP="0053535A">
      <w:pPr>
        <w:shd w:val="clear" w:color="auto" w:fill="FFFFFF"/>
        <w:jc w:val="center"/>
        <w:rPr>
          <w:b/>
          <w:bCs/>
          <w:sz w:val="28"/>
          <w:szCs w:val="28"/>
        </w:rPr>
      </w:pPr>
    </w:p>
    <w:p w:rsidR="008913F6" w:rsidRDefault="008913F6" w:rsidP="0053535A">
      <w:pPr>
        <w:shd w:val="clear" w:color="auto" w:fill="FFFFFF"/>
        <w:jc w:val="center"/>
        <w:rPr>
          <w:b/>
          <w:bCs/>
          <w:sz w:val="28"/>
          <w:szCs w:val="28"/>
        </w:rPr>
      </w:pPr>
    </w:p>
    <w:p w:rsidR="008913F6" w:rsidRDefault="008913F6" w:rsidP="0053535A">
      <w:pPr>
        <w:shd w:val="clear" w:color="auto" w:fill="FFFFFF"/>
        <w:jc w:val="center"/>
        <w:rPr>
          <w:b/>
          <w:bCs/>
          <w:sz w:val="28"/>
          <w:szCs w:val="28"/>
        </w:rPr>
      </w:pPr>
    </w:p>
    <w:p w:rsidR="0053535A" w:rsidRPr="007F389A" w:rsidRDefault="008913F6" w:rsidP="0053535A">
      <w:pPr>
        <w:shd w:val="clear" w:color="auto" w:fill="FFFFFF"/>
        <w:jc w:val="center"/>
        <w:rPr>
          <w:b/>
          <w:bCs/>
          <w:sz w:val="28"/>
          <w:szCs w:val="28"/>
        </w:rPr>
      </w:pPr>
      <w:bookmarkStart w:id="0" w:name="_GoBack"/>
      <w:bookmarkEnd w:id="0"/>
      <w:r w:rsidRPr="008913F6">
        <w:rPr>
          <w:b/>
          <w:bCs/>
          <w:sz w:val="28"/>
          <w:szCs w:val="28"/>
        </w:rPr>
        <w:lastRenderedPageBreak/>
        <w:t>Academic discipline "Toponymy"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53535A" w:rsidRPr="008913F6" w:rsidTr="00E41B11">
        <w:tc>
          <w:tcPr>
            <w:tcW w:w="3256" w:type="dxa"/>
            <w:shd w:val="clear" w:color="auto" w:fill="auto"/>
          </w:tcPr>
          <w:p w:rsidR="0053535A" w:rsidRPr="00DB247B" w:rsidRDefault="0053535A" w:rsidP="00E41B11">
            <w:pPr>
              <w:rPr>
                <w:bCs/>
                <w:lang w:val="en-US"/>
              </w:rPr>
            </w:pPr>
            <w:r w:rsidRPr="00DB247B">
              <w:rPr>
                <w:bCs/>
                <w:lang w:val="en-US"/>
              </w:rPr>
              <w:t>The place of discipline</w:t>
            </w:r>
          </w:p>
          <w:p w:rsidR="0053535A" w:rsidRPr="00DB247B" w:rsidRDefault="0053535A" w:rsidP="00E41B11">
            <w:pPr>
              <w:rPr>
                <w:bCs/>
                <w:lang w:val="en-US"/>
              </w:rPr>
            </w:pPr>
            <w:r w:rsidRPr="00DB247B">
              <w:rPr>
                <w:bCs/>
                <w:lang w:val="en-US"/>
              </w:rPr>
              <w:t>in the structural scheme of the educational program</w:t>
            </w:r>
          </w:p>
        </w:tc>
        <w:tc>
          <w:tcPr>
            <w:tcW w:w="6089" w:type="dxa"/>
            <w:shd w:val="clear" w:color="auto" w:fill="auto"/>
          </w:tcPr>
          <w:p w:rsidR="008913F6" w:rsidRPr="008913F6" w:rsidRDefault="008913F6" w:rsidP="008913F6">
            <w:pPr>
              <w:jc w:val="center"/>
              <w:rPr>
                <w:bCs/>
                <w:lang w:val="en-US"/>
              </w:rPr>
            </w:pPr>
            <w:r w:rsidRPr="008913F6">
              <w:rPr>
                <w:bCs/>
                <w:lang w:val="en-US"/>
              </w:rPr>
              <w:t>Undergraduate Education Program</w:t>
            </w:r>
          </w:p>
          <w:p w:rsidR="008913F6" w:rsidRPr="008913F6" w:rsidRDefault="008913F6" w:rsidP="008913F6">
            <w:pPr>
              <w:jc w:val="center"/>
              <w:rPr>
                <w:bCs/>
                <w:lang w:val="en-US"/>
              </w:rPr>
            </w:pPr>
            <w:r w:rsidRPr="008913F6">
              <w:rPr>
                <w:bCs/>
                <w:lang w:val="en-US"/>
              </w:rPr>
              <w:t>(I stage of higher education)</w:t>
            </w:r>
          </w:p>
          <w:p w:rsidR="008913F6" w:rsidRPr="008913F6" w:rsidRDefault="008913F6" w:rsidP="008913F6">
            <w:pPr>
              <w:jc w:val="center"/>
              <w:rPr>
                <w:bCs/>
                <w:lang w:val="en-US"/>
              </w:rPr>
            </w:pPr>
            <w:r w:rsidRPr="008913F6">
              <w:rPr>
                <w:bCs/>
                <w:lang w:val="en-US"/>
              </w:rPr>
              <w:t>Specialty: 6-05-0532-01 "Geography"</w:t>
            </w:r>
          </w:p>
          <w:p w:rsidR="008913F6" w:rsidRPr="008913F6" w:rsidRDefault="008913F6" w:rsidP="008913F6">
            <w:pPr>
              <w:jc w:val="center"/>
              <w:rPr>
                <w:bCs/>
                <w:lang w:val="en-US"/>
              </w:rPr>
            </w:pPr>
            <w:r w:rsidRPr="008913F6">
              <w:rPr>
                <w:bCs/>
                <w:lang w:val="en-US"/>
              </w:rPr>
              <w:t>Elective Discipline Cycle</w:t>
            </w:r>
          </w:p>
          <w:p w:rsidR="0053535A" w:rsidRPr="00DB247B" w:rsidRDefault="008913F6" w:rsidP="008913F6">
            <w:pPr>
              <w:jc w:val="center"/>
              <w:rPr>
                <w:bCs/>
                <w:lang w:val="en-US"/>
              </w:rPr>
            </w:pPr>
            <w:r w:rsidRPr="008913F6">
              <w:rPr>
                <w:bCs/>
                <w:lang w:val="en-US"/>
              </w:rPr>
              <w:t>Education institution component</w:t>
            </w:r>
          </w:p>
        </w:tc>
      </w:tr>
      <w:tr w:rsidR="008913F6" w:rsidRPr="008913F6" w:rsidTr="00E41B11">
        <w:tc>
          <w:tcPr>
            <w:tcW w:w="3256" w:type="dxa"/>
            <w:shd w:val="clear" w:color="auto" w:fill="auto"/>
          </w:tcPr>
          <w:p w:rsidR="008913F6" w:rsidRPr="0019369C" w:rsidRDefault="008913F6" w:rsidP="008913F6">
            <w:pPr>
              <w:rPr>
                <w:b/>
              </w:rPr>
            </w:pPr>
            <w:r w:rsidRPr="00DB247B">
              <w:rPr>
                <w:b/>
              </w:rPr>
              <w:t>Summary</w:t>
            </w:r>
          </w:p>
        </w:tc>
        <w:tc>
          <w:tcPr>
            <w:tcW w:w="6089" w:type="dxa"/>
            <w:shd w:val="clear" w:color="auto" w:fill="auto"/>
          </w:tcPr>
          <w:p w:rsidR="008913F6" w:rsidRPr="00DB247B" w:rsidRDefault="008913F6" w:rsidP="008913F6">
            <w:pPr>
              <w:jc w:val="center"/>
              <w:rPr>
                <w:bCs/>
                <w:lang w:val="en-US"/>
              </w:rPr>
            </w:pPr>
            <w:r w:rsidRPr="008913F6">
              <w:rPr>
                <w:bCs/>
                <w:lang w:val="en-US"/>
              </w:rPr>
              <w:t>This discipline is a systematized and generalized modern ideas on the problems of general toponymy and a review of modern directions of applied toponymic studies of toponymy of the Republic of Belarus and the Gomel region. The discipline "Toponymics" is closely related to such training courses as "Physical Geography of the Continents," "Geography of Belarus," "Physical Geography of Russia and Neighboring Countries," "Geography of the World Ocean."</w:t>
            </w:r>
          </w:p>
        </w:tc>
      </w:tr>
      <w:tr w:rsidR="008913F6" w:rsidRPr="008913F6" w:rsidTr="00E41B11">
        <w:tc>
          <w:tcPr>
            <w:tcW w:w="3256" w:type="dxa"/>
            <w:shd w:val="clear" w:color="auto" w:fill="auto"/>
          </w:tcPr>
          <w:p w:rsidR="008913F6" w:rsidRPr="0019369C" w:rsidRDefault="008913F6" w:rsidP="008913F6">
            <w:pPr>
              <w:rPr>
                <w:b/>
              </w:rPr>
            </w:pPr>
            <w:r w:rsidRPr="00DB247B">
              <w:rPr>
                <w:b/>
              </w:rPr>
              <w:t>Emerging competencies, learning outcomes</w:t>
            </w:r>
          </w:p>
        </w:tc>
        <w:tc>
          <w:tcPr>
            <w:tcW w:w="6089" w:type="dxa"/>
            <w:shd w:val="clear" w:color="auto" w:fill="auto"/>
          </w:tcPr>
          <w:p w:rsidR="008913F6" w:rsidRPr="008913F6" w:rsidRDefault="008913F6" w:rsidP="008913F6">
            <w:pPr>
              <w:pStyle w:val="1"/>
              <w:tabs>
                <w:tab w:val="left" w:pos="84"/>
              </w:tabs>
              <w:ind w:hanging="58"/>
              <w:rPr>
                <w:sz w:val="24"/>
                <w:szCs w:val="24"/>
                <w:lang w:val="en-US"/>
              </w:rPr>
            </w:pPr>
            <w:r w:rsidRPr="008913F6">
              <w:rPr>
                <w:sz w:val="24"/>
                <w:szCs w:val="24"/>
                <w:lang w:val="en-US"/>
              </w:rPr>
              <w:t>Basic professional competencies:</w:t>
            </w:r>
          </w:p>
          <w:p w:rsidR="008913F6" w:rsidRPr="008913F6" w:rsidRDefault="008913F6" w:rsidP="008913F6">
            <w:pPr>
              <w:pStyle w:val="1"/>
              <w:tabs>
                <w:tab w:val="left" w:pos="84"/>
              </w:tabs>
              <w:ind w:hanging="58"/>
              <w:rPr>
                <w:sz w:val="24"/>
                <w:szCs w:val="24"/>
                <w:lang w:val="en-US"/>
              </w:rPr>
            </w:pPr>
            <w:r w:rsidRPr="008913F6">
              <w:rPr>
                <w:sz w:val="24"/>
                <w:szCs w:val="24"/>
                <w:lang w:val="en-US"/>
              </w:rPr>
              <w:t>know: geographical names (toponyms), their meaning, structure, origin and distribution area; main factors and conditions for the formation, borrowing and renaming of geographical names</w:t>
            </w:r>
          </w:p>
          <w:p w:rsidR="008913F6" w:rsidRPr="00DB247B" w:rsidRDefault="008913F6" w:rsidP="008913F6">
            <w:pPr>
              <w:pStyle w:val="1"/>
              <w:tabs>
                <w:tab w:val="left" w:pos="84"/>
              </w:tabs>
              <w:ind w:hanging="58"/>
              <w:rPr>
                <w:sz w:val="24"/>
                <w:szCs w:val="24"/>
                <w:lang w:val="en-US"/>
              </w:rPr>
            </w:pPr>
            <w:r w:rsidRPr="008913F6">
              <w:rPr>
                <w:sz w:val="24"/>
                <w:szCs w:val="24"/>
                <w:lang w:val="en-US"/>
              </w:rPr>
              <w:t>be able to: navigate in general geographical and special toponymic terminology (macro- and microtoponymy, toponymic: landscape, spectrum, background, formant, type, formation, etymology, etc.), classification and types of transmission of geographical names, in temporal and spatial aspects of the development of toponymy as a scien</w:t>
            </w:r>
            <w:r>
              <w:rPr>
                <w:sz w:val="24"/>
                <w:szCs w:val="24"/>
                <w:lang w:val="en-US"/>
              </w:rPr>
              <w:t>tific direction at the junction</w:t>
            </w:r>
            <w:r w:rsidRPr="008913F6">
              <w:rPr>
                <w:sz w:val="24"/>
                <w:szCs w:val="24"/>
                <w:lang w:val="en-US"/>
              </w:rPr>
              <w:t xml:space="preserve"> </w:t>
            </w:r>
            <w:r w:rsidRPr="008913F6">
              <w:rPr>
                <w:sz w:val="24"/>
                <w:szCs w:val="24"/>
                <w:lang w:val="en-US"/>
              </w:rPr>
              <w:t>of several sciences</w:t>
            </w:r>
            <w:r w:rsidRPr="008913F6">
              <w:rPr>
                <w:sz w:val="24"/>
                <w:szCs w:val="24"/>
                <w:lang w:val="en-US"/>
              </w:rPr>
              <w:t xml:space="preserve"> </w:t>
            </w:r>
            <w:r w:rsidRPr="008913F6">
              <w:rPr>
                <w:sz w:val="24"/>
                <w:szCs w:val="24"/>
                <w:lang w:val="en-US"/>
              </w:rPr>
              <w:t>have practical skills in creating information databases and conducting private regional zoning</w:t>
            </w:r>
          </w:p>
        </w:tc>
      </w:tr>
      <w:tr w:rsidR="008913F6" w:rsidRPr="008913F6" w:rsidTr="00E41B11">
        <w:tc>
          <w:tcPr>
            <w:tcW w:w="3256" w:type="dxa"/>
            <w:shd w:val="clear" w:color="auto" w:fill="auto"/>
          </w:tcPr>
          <w:p w:rsidR="008913F6" w:rsidRPr="0019369C" w:rsidRDefault="008913F6" w:rsidP="008913F6">
            <w:pPr>
              <w:rPr>
                <w:b/>
              </w:rPr>
            </w:pPr>
            <w:r w:rsidRPr="00DB247B">
              <w:rPr>
                <w:b/>
              </w:rPr>
              <w:t>Prerequisites</w:t>
            </w:r>
          </w:p>
        </w:tc>
        <w:tc>
          <w:tcPr>
            <w:tcW w:w="6089" w:type="dxa"/>
            <w:shd w:val="clear" w:color="auto" w:fill="auto"/>
          </w:tcPr>
          <w:p w:rsidR="008913F6" w:rsidRPr="008913F6" w:rsidRDefault="008913F6" w:rsidP="008913F6">
            <w:pPr>
              <w:jc w:val="both"/>
              <w:rPr>
                <w:lang w:val="en-US"/>
              </w:rPr>
            </w:pPr>
            <w:r w:rsidRPr="008913F6">
              <w:rPr>
                <w:lang w:val="en-US"/>
              </w:rPr>
              <w:t>"Physical geography of the continents," "Geography of Belarus," "Physical geography of Russia and neighboring countries,"</w:t>
            </w:r>
            <w:r>
              <w:rPr>
                <w:lang w:val="en-US"/>
              </w:rPr>
              <w:t xml:space="preserve"> "Geography of the World Ocean"</w:t>
            </w:r>
          </w:p>
        </w:tc>
      </w:tr>
      <w:tr w:rsidR="008913F6" w:rsidRPr="008913F6" w:rsidTr="00E41B11">
        <w:tc>
          <w:tcPr>
            <w:tcW w:w="3256" w:type="dxa"/>
            <w:shd w:val="clear" w:color="auto" w:fill="auto"/>
          </w:tcPr>
          <w:p w:rsidR="008913F6" w:rsidRPr="0019369C" w:rsidRDefault="008913F6" w:rsidP="008913F6">
            <w:pPr>
              <w:rPr>
                <w:b/>
              </w:rPr>
            </w:pPr>
            <w:r w:rsidRPr="00DB247B">
              <w:rPr>
                <w:b/>
              </w:rPr>
              <w:t>Labor intensity</w:t>
            </w:r>
          </w:p>
        </w:tc>
        <w:tc>
          <w:tcPr>
            <w:tcW w:w="6089" w:type="dxa"/>
            <w:shd w:val="clear" w:color="auto" w:fill="auto"/>
          </w:tcPr>
          <w:p w:rsidR="008913F6" w:rsidRPr="00DB247B" w:rsidRDefault="008913F6" w:rsidP="008913F6">
            <w:pPr>
              <w:jc w:val="both"/>
              <w:rPr>
                <w:lang w:val="en-US"/>
              </w:rPr>
            </w:pPr>
            <w:r w:rsidRPr="008913F6">
              <w:rPr>
                <w:lang w:val="en-US"/>
              </w:rPr>
              <w:t xml:space="preserve">Total number of hours - 60 hours (credits - 1.5); classroom number of hours - 34, of which: lectures - 18 (including USR - 6 hours), practical exercises - 16 hours. </w:t>
            </w:r>
          </w:p>
        </w:tc>
      </w:tr>
      <w:tr w:rsidR="008913F6" w:rsidRPr="008913F6" w:rsidTr="00E41B11">
        <w:tc>
          <w:tcPr>
            <w:tcW w:w="3256" w:type="dxa"/>
            <w:shd w:val="clear" w:color="auto" w:fill="auto"/>
          </w:tcPr>
          <w:p w:rsidR="008913F6" w:rsidRPr="00DB247B" w:rsidRDefault="008913F6" w:rsidP="008913F6">
            <w:pPr>
              <w:rPr>
                <w:b/>
                <w:lang w:val="en-US"/>
              </w:rPr>
            </w:pPr>
            <w:r w:rsidRPr="00DB247B">
              <w:rPr>
                <w:b/>
                <w:lang w:val="en-US"/>
              </w:rPr>
              <w:t>Semester(s), requirements and forms of current and intermediate certification</w:t>
            </w:r>
          </w:p>
        </w:tc>
        <w:tc>
          <w:tcPr>
            <w:tcW w:w="6089" w:type="dxa"/>
            <w:shd w:val="clear" w:color="auto" w:fill="auto"/>
          </w:tcPr>
          <w:p w:rsidR="008913F6" w:rsidRDefault="008913F6" w:rsidP="008913F6">
            <w:pPr>
              <w:jc w:val="both"/>
            </w:pPr>
            <w:r>
              <w:t>Reporting form - offset.</w:t>
            </w:r>
          </w:p>
          <w:p w:rsidR="008913F6" w:rsidRPr="00DB247B" w:rsidRDefault="008913F6" w:rsidP="008913F6">
            <w:pPr>
              <w:jc w:val="both"/>
              <w:rPr>
                <w:lang w:val="en-US"/>
              </w:rPr>
            </w:pPr>
            <w:r w:rsidRPr="008913F6">
              <w:rPr>
                <w:lang w:val="en-US"/>
              </w:rPr>
              <w:t>Intermediate certification form - test work. The form of current certification is offset in the 8th semester.</w:t>
            </w:r>
          </w:p>
        </w:tc>
      </w:tr>
    </w:tbl>
    <w:p w:rsidR="0053535A" w:rsidRPr="00DB247B" w:rsidRDefault="0053535A" w:rsidP="0053535A">
      <w:pPr>
        <w:pStyle w:val="a3"/>
        <w:tabs>
          <w:tab w:val="left" w:pos="567"/>
        </w:tabs>
        <w:spacing w:line="240" w:lineRule="auto"/>
        <w:ind w:firstLine="709"/>
        <w:rPr>
          <w:lang w:val="en-US"/>
        </w:rPr>
      </w:pPr>
    </w:p>
    <w:p w:rsidR="0053535A" w:rsidRPr="006728BC" w:rsidRDefault="0053535A" w:rsidP="0053535A">
      <w:pPr>
        <w:rPr>
          <w:lang w:val="en-US"/>
        </w:rPr>
      </w:pPr>
    </w:p>
    <w:p w:rsidR="0053535A" w:rsidRPr="000E54F2" w:rsidRDefault="0053535A" w:rsidP="0053535A">
      <w:pPr>
        <w:rPr>
          <w:lang w:val="en-US"/>
        </w:rPr>
      </w:pPr>
    </w:p>
    <w:p w:rsidR="0053535A" w:rsidRPr="007A627A" w:rsidRDefault="0053535A" w:rsidP="0053535A">
      <w:pPr>
        <w:rPr>
          <w:lang w:val="en-US"/>
        </w:rPr>
      </w:pPr>
    </w:p>
    <w:p w:rsidR="00CE2232" w:rsidRPr="0053535A" w:rsidRDefault="00CE2232">
      <w:pPr>
        <w:rPr>
          <w:lang w:val="en-US"/>
        </w:rPr>
      </w:pPr>
    </w:p>
    <w:sectPr w:rsidR="00CE2232" w:rsidRPr="00535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40B16"/>
    <w:multiLevelType w:val="hybridMultilevel"/>
    <w:tmpl w:val="EE721CEC"/>
    <w:lvl w:ilvl="0" w:tplc="8C200D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5A"/>
    <w:rsid w:val="0053535A"/>
    <w:rsid w:val="00777223"/>
    <w:rsid w:val="008913F6"/>
    <w:rsid w:val="00CE2232"/>
    <w:rsid w:val="00D0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05EB"/>
  <w15:chartTrackingRefBased/>
  <w15:docId w15:val="{90500A3B-7FBB-40AB-AE10-DC31A47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3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535A"/>
    <w:pPr>
      <w:spacing w:line="360" w:lineRule="auto"/>
      <w:ind w:firstLine="705"/>
      <w:jc w:val="both"/>
    </w:pPr>
    <w:rPr>
      <w:sz w:val="28"/>
    </w:rPr>
  </w:style>
  <w:style w:type="character" w:customStyle="1" w:styleId="a4">
    <w:name w:val="Основной текст с отступом Знак"/>
    <w:basedOn w:val="a0"/>
    <w:link w:val="a3"/>
    <w:rsid w:val="0053535A"/>
    <w:rPr>
      <w:rFonts w:ascii="Times New Roman" w:eastAsia="Times New Roman" w:hAnsi="Times New Roman" w:cs="Times New Roman"/>
      <w:sz w:val="28"/>
      <w:szCs w:val="24"/>
      <w:lang w:eastAsia="ru-RU"/>
    </w:rPr>
  </w:style>
  <w:style w:type="paragraph" w:customStyle="1" w:styleId="1">
    <w:name w:val="Обычный1"/>
    <w:rsid w:val="0053535A"/>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styleId="a5">
    <w:name w:val="List Paragraph"/>
    <w:basedOn w:val="a"/>
    <w:uiPriority w:val="34"/>
    <w:qFormat/>
    <w:rsid w:val="0053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613</Words>
  <Characters>3495</Characters>
  <Application>Microsoft Office Word</Application>
  <DocSecurity>0</DocSecurity>
  <Lines>29</Lines>
  <Paragraphs>8</Paragraphs>
  <ScaleCrop>false</ScaleCrop>
  <Company>SPecialiST RePack</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2025-02-09T17:47:00Z</dcterms:created>
  <dcterms:modified xsi:type="dcterms:W3CDTF">2025-02-11T16:54:00Z</dcterms:modified>
</cp:coreProperties>
</file>