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A" w:rsidRDefault="0081556A" w:rsidP="0081556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«Физическая география Гомельской области»</w:t>
      </w:r>
    </w:p>
    <w:p w:rsidR="0081556A" w:rsidRPr="007F389A" w:rsidRDefault="0081556A" w:rsidP="0081556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81556A" w:rsidRPr="0019369C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Cs/>
              </w:rPr>
            </w:pPr>
            <w:r w:rsidRPr="004F7522">
              <w:rPr>
                <w:bCs/>
              </w:rPr>
              <w:t xml:space="preserve">Место дисциплины </w:t>
            </w:r>
          </w:p>
          <w:p w:rsidR="0081556A" w:rsidRPr="004F7522" w:rsidRDefault="0081556A" w:rsidP="00665BE3">
            <w:pPr>
              <w:rPr>
                <w:bCs/>
              </w:rPr>
            </w:pPr>
            <w:r w:rsidRPr="004F7522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89" w:type="dxa"/>
            <w:shd w:val="clear" w:color="auto" w:fill="auto"/>
          </w:tcPr>
          <w:p w:rsidR="0081556A" w:rsidRPr="004F7522" w:rsidRDefault="0081556A" w:rsidP="00665BE3">
            <w:pPr>
              <w:jc w:val="center"/>
              <w:rPr>
                <w:bCs/>
              </w:rPr>
            </w:pPr>
            <w:r w:rsidRPr="004F7522">
              <w:rPr>
                <w:bCs/>
              </w:rPr>
              <w:t xml:space="preserve">Образовательная программа </w:t>
            </w:r>
            <w:proofErr w:type="spellStart"/>
            <w:r w:rsidRPr="004F7522">
              <w:rPr>
                <w:bCs/>
              </w:rPr>
              <w:t>бакалавриата</w:t>
            </w:r>
            <w:proofErr w:type="spellEnd"/>
          </w:p>
          <w:p w:rsidR="0081556A" w:rsidRPr="004F7522" w:rsidRDefault="0081556A" w:rsidP="00665BE3">
            <w:pPr>
              <w:jc w:val="center"/>
              <w:rPr>
                <w:bCs/>
              </w:rPr>
            </w:pPr>
            <w:r w:rsidRPr="004F7522">
              <w:rPr>
                <w:bCs/>
              </w:rPr>
              <w:t xml:space="preserve"> (</w:t>
            </w:r>
            <w:r w:rsidRPr="004F7522">
              <w:rPr>
                <w:bCs/>
                <w:lang w:val="en-US"/>
              </w:rPr>
              <w:t>I</w:t>
            </w:r>
            <w:r w:rsidRPr="004F7522">
              <w:rPr>
                <w:bCs/>
              </w:rPr>
              <w:t xml:space="preserve"> ступень высшего образования)</w:t>
            </w:r>
          </w:p>
          <w:p w:rsidR="0081556A" w:rsidRPr="004F7522" w:rsidRDefault="0081556A" w:rsidP="00665B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7522">
              <w:rPr>
                <w:bCs/>
              </w:rPr>
              <w:t xml:space="preserve">Специальность: </w:t>
            </w:r>
            <w:r w:rsidRPr="004F7522">
              <w:t>6-05-0532-01 «География»</w:t>
            </w:r>
            <w:r w:rsidRPr="004F7522">
              <w:rPr>
                <w:b/>
              </w:rPr>
              <w:t xml:space="preserve">  </w:t>
            </w:r>
          </w:p>
          <w:p w:rsidR="0081556A" w:rsidRDefault="0081556A" w:rsidP="00665BE3">
            <w:pPr>
              <w:jc w:val="center"/>
              <w:rPr>
                <w:bCs/>
              </w:rPr>
            </w:pPr>
            <w:r w:rsidRPr="004F7522">
              <w:rPr>
                <w:bCs/>
              </w:rPr>
              <w:t>Цикл специал</w:t>
            </w:r>
            <w:r>
              <w:rPr>
                <w:bCs/>
              </w:rPr>
              <w:t xml:space="preserve">ьных дисциплин: </w:t>
            </w:r>
          </w:p>
          <w:p w:rsidR="0081556A" w:rsidRPr="004F7522" w:rsidRDefault="0081556A" w:rsidP="00665BE3">
            <w:pPr>
              <w:jc w:val="center"/>
              <w:rPr>
                <w:bCs/>
              </w:rPr>
            </w:pPr>
            <w:r w:rsidRPr="004F7522">
              <w:rPr>
                <w:bCs/>
              </w:rPr>
              <w:t>компонент</w:t>
            </w:r>
            <w:r>
              <w:rPr>
                <w:bCs/>
              </w:rPr>
              <w:t xml:space="preserve"> учреждения образования</w:t>
            </w:r>
            <w:r w:rsidRPr="004F7522">
              <w:rPr>
                <w:bCs/>
              </w:rPr>
              <w:t xml:space="preserve"> </w:t>
            </w:r>
          </w:p>
        </w:tc>
      </w:tr>
      <w:tr w:rsidR="0081556A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/>
              </w:rPr>
            </w:pPr>
            <w:r w:rsidRPr="004F7522">
              <w:rPr>
                <w:b/>
              </w:rPr>
              <w:t>Краткое содержание</w:t>
            </w:r>
          </w:p>
          <w:p w:rsidR="0081556A" w:rsidRPr="004F7522" w:rsidRDefault="0081556A" w:rsidP="00665BE3">
            <w:pPr>
              <w:rPr>
                <w:b/>
              </w:rPr>
            </w:pPr>
          </w:p>
        </w:tc>
        <w:tc>
          <w:tcPr>
            <w:tcW w:w="6089" w:type="dxa"/>
            <w:shd w:val="clear" w:color="auto" w:fill="auto"/>
          </w:tcPr>
          <w:p w:rsidR="0081556A" w:rsidRPr="004F7522" w:rsidRDefault="0081556A" w:rsidP="00665BE3">
            <w:pPr>
              <w:ind w:firstLine="318"/>
              <w:jc w:val="both"/>
            </w:pPr>
            <w:r w:rsidRPr="0081556A">
              <w:t>Физическая география Гомельской области – учебный курс, являющийся составной часть физической географии Беларуси и призванный углубить и обобщить знания обучающихся о разнообразии природы одного их наиболее крупных и наиболее динамично развивающихся регионов республики. Необходимость изучения данного курса определяется важностью рационального природопользования и природоохранных проблем. Содержание дисциплины содействует реализации краеведческого принципа в обучении географии.</w:t>
            </w:r>
          </w:p>
        </w:tc>
      </w:tr>
      <w:tr w:rsidR="0081556A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/>
              </w:rPr>
            </w:pPr>
            <w:r w:rsidRPr="004F7522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89" w:type="dxa"/>
            <w:shd w:val="clear" w:color="auto" w:fill="auto"/>
          </w:tcPr>
          <w:p w:rsidR="0081556A" w:rsidRDefault="0081556A" w:rsidP="0081556A">
            <w:pPr>
              <w:ind w:firstLine="171"/>
              <w:jc w:val="both"/>
            </w:pPr>
            <w:r>
              <w:t xml:space="preserve">Базовые профессиональные компетенции </w:t>
            </w:r>
          </w:p>
          <w:p w:rsidR="0081556A" w:rsidRPr="0081556A" w:rsidRDefault="0081556A" w:rsidP="004634E8">
            <w:pPr>
              <w:ind w:firstLine="171"/>
              <w:jc w:val="both"/>
            </w:pPr>
            <w:r w:rsidRPr="004634E8">
              <w:rPr>
                <w:b/>
                <w:i/>
              </w:rPr>
              <w:t>знать:</w:t>
            </w:r>
            <w:r>
              <w:t xml:space="preserve"> </w:t>
            </w:r>
            <w:r w:rsidRPr="0081556A">
              <w:t>особенности территориального размещения природных компонентов, природных комплексов и природных ресурсов в пределах Гомельской области;</w:t>
            </w:r>
            <w:r>
              <w:t xml:space="preserve"> </w:t>
            </w:r>
            <w:r w:rsidRPr="0081556A">
              <w:t>закономерности протекания физико-географических процессов;</w:t>
            </w:r>
            <w:r w:rsidR="004634E8">
              <w:t xml:space="preserve"> </w:t>
            </w:r>
            <w:r w:rsidRPr="0081556A">
              <w:t>пространственно-временные особенности изменения рельефа, климата, гидрографии, почвенно-растительного покрова и животного мира в результате природных процессов и хозяйственной деятельности.</w:t>
            </w:r>
          </w:p>
          <w:p w:rsidR="0081556A" w:rsidRPr="0081556A" w:rsidRDefault="004634E8" w:rsidP="004634E8">
            <w:pPr>
              <w:ind w:firstLine="171"/>
              <w:jc w:val="both"/>
            </w:pPr>
            <w:r w:rsidRPr="0095429C">
              <w:rPr>
                <w:b/>
                <w:i/>
              </w:rPr>
              <w:t>уметь:</w:t>
            </w:r>
            <w:r>
              <w:t xml:space="preserve"> </w:t>
            </w:r>
            <w:r w:rsidR="0081556A" w:rsidRPr="0081556A">
              <w:t>проводить анализ литературных, фондовых и статистических источников о состоянии природных ресурсов Гомельской области;</w:t>
            </w:r>
            <w:r>
              <w:t xml:space="preserve"> </w:t>
            </w:r>
            <w:r w:rsidR="0081556A" w:rsidRPr="0081556A">
              <w:t xml:space="preserve">выбирать оптимальные варианты использования природных </w:t>
            </w:r>
            <w:proofErr w:type="gramStart"/>
            <w:r w:rsidR="0081556A" w:rsidRPr="0081556A">
              <w:t>ресурсов;</w:t>
            </w:r>
            <w:r>
              <w:t xml:space="preserve">   </w:t>
            </w:r>
            <w:proofErr w:type="gramEnd"/>
            <w:r w:rsidR="0081556A" w:rsidRPr="0081556A">
              <w:t>прогнозировать развитие природных комплексов региона.</w:t>
            </w:r>
          </w:p>
          <w:p w:rsidR="0081556A" w:rsidRPr="004634E8" w:rsidRDefault="004634E8" w:rsidP="004634E8">
            <w:pPr>
              <w:ind w:firstLine="171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владеть: </w:t>
            </w:r>
            <w:r w:rsidR="0081556A" w:rsidRPr="0081556A">
              <w:t>статистическими методиками расчета показателей, характеризующих экологические аспекты оценки природных комплексов;</w:t>
            </w:r>
            <w:r>
              <w:rPr>
                <w:b/>
                <w:i/>
              </w:rPr>
              <w:t xml:space="preserve"> </w:t>
            </w:r>
            <w:r w:rsidR="0081556A" w:rsidRPr="0081556A">
              <w:t>методами построения графиков и диаграмм, геоинформационного моделирования, программными ГИС-пакетами;</w:t>
            </w:r>
            <w:r>
              <w:rPr>
                <w:b/>
                <w:i/>
              </w:rPr>
              <w:t xml:space="preserve"> </w:t>
            </w:r>
            <w:r w:rsidR="0081556A" w:rsidRPr="0081556A">
              <w:t>методическими подходами к обоснованию территориального размещения природных комплексов Гомельской области и определению направления рационального природопользования;</w:t>
            </w:r>
            <w:r>
              <w:rPr>
                <w:b/>
                <w:i/>
              </w:rPr>
              <w:t xml:space="preserve"> </w:t>
            </w:r>
            <w:r w:rsidR="0081556A" w:rsidRPr="0081556A">
              <w:t>географической номенклатурой по природным объектам Гомельской области;</w:t>
            </w:r>
            <w:r>
              <w:rPr>
                <w:b/>
                <w:i/>
              </w:rPr>
              <w:t xml:space="preserve"> </w:t>
            </w:r>
            <w:r w:rsidR="0081556A" w:rsidRPr="0081556A">
              <w:t>навыками презентационного представления результатов учебных исследовательских заданий;</w:t>
            </w:r>
            <w:r>
              <w:rPr>
                <w:b/>
                <w:i/>
              </w:rPr>
              <w:t xml:space="preserve"> </w:t>
            </w:r>
            <w:r w:rsidR="0081556A" w:rsidRPr="0081556A">
              <w:t>принципами и приемами дискуссионного обсуждения проблемных вопросов.</w:t>
            </w:r>
          </w:p>
        </w:tc>
      </w:tr>
      <w:tr w:rsidR="0081556A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/>
              </w:rPr>
            </w:pPr>
            <w:proofErr w:type="spellStart"/>
            <w:r w:rsidRPr="004F7522">
              <w:rPr>
                <w:b/>
              </w:rPr>
              <w:t>Пререквизиты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:rsidR="0081556A" w:rsidRPr="004F7522" w:rsidRDefault="0081556A" w:rsidP="00665BE3">
            <w:pPr>
              <w:jc w:val="both"/>
            </w:pPr>
            <w:r w:rsidRPr="004F7522">
              <w:t xml:space="preserve">«Почвоведение», «Метеорология и климатология», «Геоморфология», </w:t>
            </w:r>
            <w:r w:rsidR="004634E8">
              <w:t>«Гидрология», «Геохимия»</w:t>
            </w:r>
          </w:p>
        </w:tc>
      </w:tr>
      <w:tr w:rsidR="0081556A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/>
              </w:rPr>
            </w:pPr>
            <w:r w:rsidRPr="004F7522">
              <w:rPr>
                <w:b/>
              </w:rPr>
              <w:t>Трудоемкость</w:t>
            </w:r>
          </w:p>
        </w:tc>
        <w:tc>
          <w:tcPr>
            <w:tcW w:w="6089" w:type="dxa"/>
            <w:shd w:val="clear" w:color="auto" w:fill="auto"/>
          </w:tcPr>
          <w:p w:rsidR="0081556A" w:rsidRPr="004F7522" w:rsidRDefault="004634E8" w:rsidP="0095429C">
            <w:pPr>
              <w:pStyle w:val="1"/>
              <w:ind w:firstLine="84"/>
              <w:rPr>
                <w:sz w:val="24"/>
                <w:szCs w:val="24"/>
              </w:rPr>
            </w:pPr>
            <w:r w:rsidRPr="004634E8">
              <w:rPr>
                <w:sz w:val="24"/>
                <w:szCs w:val="24"/>
              </w:rPr>
              <w:t>Общее количество часов – 98 часов (зачетных единиц – 2,5); аудиторное количество часов – 40, из них: лекц</w:t>
            </w:r>
            <w:r w:rsidR="0095429C">
              <w:rPr>
                <w:sz w:val="24"/>
                <w:szCs w:val="24"/>
              </w:rPr>
              <w:t>ии – 20</w:t>
            </w:r>
            <w:r w:rsidRPr="004634E8">
              <w:rPr>
                <w:sz w:val="24"/>
                <w:szCs w:val="24"/>
              </w:rPr>
              <w:t xml:space="preserve">, практические занятия – 20 часов. </w:t>
            </w:r>
          </w:p>
        </w:tc>
      </w:tr>
      <w:tr w:rsidR="0081556A" w:rsidTr="00665BE3">
        <w:tc>
          <w:tcPr>
            <w:tcW w:w="3256" w:type="dxa"/>
            <w:shd w:val="clear" w:color="auto" w:fill="auto"/>
          </w:tcPr>
          <w:p w:rsidR="0081556A" w:rsidRPr="004F7522" w:rsidRDefault="0081556A" w:rsidP="00665BE3">
            <w:pPr>
              <w:rPr>
                <w:b/>
              </w:rPr>
            </w:pPr>
            <w:r w:rsidRPr="004F7522">
              <w:rPr>
                <w:b/>
              </w:rPr>
              <w:lastRenderedPageBreak/>
              <w:t>Семестр(ы), требования и формы текущей и промежуточной аттестации</w:t>
            </w:r>
          </w:p>
        </w:tc>
        <w:tc>
          <w:tcPr>
            <w:tcW w:w="6089" w:type="dxa"/>
            <w:shd w:val="clear" w:color="auto" w:fill="auto"/>
          </w:tcPr>
          <w:p w:rsidR="0081556A" w:rsidRPr="004F7522" w:rsidRDefault="0095429C" w:rsidP="00665BE3">
            <w:pPr>
              <w:jc w:val="both"/>
            </w:pPr>
            <w:r w:rsidRPr="004634E8">
              <w:t>Форма промежуточной аттестации – контрольная работа. Ф</w:t>
            </w:r>
            <w:r>
              <w:t>орма текущей аттестации – зачет в 3 семестре</w:t>
            </w:r>
          </w:p>
        </w:tc>
      </w:tr>
    </w:tbl>
    <w:p w:rsidR="0081556A" w:rsidRDefault="0081556A" w:rsidP="0081556A">
      <w:pPr>
        <w:ind w:left="1575" w:firstLine="3465"/>
        <w:jc w:val="both"/>
        <w:rPr>
          <w:color w:val="000000"/>
          <w:sz w:val="28"/>
          <w:szCs w:val="28"/>
        </w:rPr>
      </w:pPr>
    </w:p>
    <w:p w:rsidR="0081556A" w:rsidRPr="009645B9" w:rsidRDefault="009645B9" w:rsidP="0081556A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  <w:r w:rsidRPr="009645B9">
        <w:rPr>
          <w:b/>
          <w:bCs/>
          <w:lang w:val="en-US"/>
        </w:rPr>
        <w:t>Study discipline "Physical geography of the Gomel region"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81556A" w:rsidRPr="009645B9" w:rsidTr="00665BE3">
        <w:tc>
          <w:tcPr>
            <w:tcW w:w="3256" w:type="dxa"/>
            <w:shd w:val="clear" w:color="auto" w:fill="auto"/>
          </w:tcPr>
          <w:p w:rsidR="0081556A" w:rsidRPr="00DB247B" w:rsidRDefault="0081556A" w:rsidP="00665BE3">
            <w:pPr>
              <w:rPr>
                <w:bCs/>
                <w:lang w:val="en-US"/>
              </w:rPr>
            </w:pPr>
            <w:r w:rsidRPr="00DB247B">
              <w:rPr>
                <w:bCs/>
                <w:lang w:val="en-US"/>
              </w:rPr>
              <w:t>The place of discipline</w:t>
            </w:r>
          </w:p>
          <w:p w:rsidR="0081556A" w:rsidRPr="00DB247B" w:rsidRDefault="0081556A" w:rsidP="00665BE3">
            <w:pPr>
              <w:rPr>
                <w:bCs/>
                <w:lang w:val="en-US"/>
              </w:rPr>
            </w:pPr>
            <w:r w:rsidRPr="00DB247B">
              <w:rPr>
                <w:bCs/>
                <w:lang w:val="en-US"/>
              </w:rPr>
              <w:t>in the structural scheme of the educational program</w:t>
            </w:r>
          </w:p>
        </w:tc>
        <w:tc>
          <w:tcPr>
            <w:tcW w:w="6089" w:type="dxa"/>
            <w:shd w:val="clear" w:color="auto" w:fill="auto"/>
          </w:tcPr>
          <w:p w:rsidR="009645B9" w:rsidRPr="009645B9" w:rsidRDefault="009645B9" w:rsidP="009645B9">
            <w:pPr>
              <w:jc w:val="center"/>
              <w:rPr>
                <w:bCs/>
                <w:lang w:val="en-US"/>
              </w:rPr>
            </w:pPr>
            <w:r w:rsidRPr="009645B9">
              <w:rPr>
                <w:bCs/>
                <w:lang w:val="en-US"/>
              </w:rPr>
              <w:t>Undergraduate Education Program</w:t>
            </w:r>
          </w:p>
          <w:p w:rsidR="009645B9" w:rsidRPr="009645B9" w:rsidRDefault="009645B9" w:rsidP="009645B9">
            <w:pPr>
              <w:jc w:val="center"/>
              <w:rPr>
                <w:bCs/>
                <w:lang w:val="en-US"/>
              </w:rPr>
            </w:pPr>
            <w:r w:rsidRPr="009645B9">
              <w:rPr>
                <w:bCs/>
                <w:lang w:val="en-US"/>
              </w:rPr>
              <w:t>(I stage of higher education)</w:t>
            </w:r>
          </w:p>
          <w:p w:rsidR="009645B9" w:rsidRPr="009645B9" w:rsidRDefault="009645B9" w:rsidP="009645B9">
            <w:pPr>
              <w:jc w:val="center"/>
              <w:rPr>
                <w:bCs/>
                <w:lang w:val="en-US"/>
              </w:rPr>
            </w:pPr>
            <w:r w:rsidRPr="009645B9">
              <w:rPr>
                <w:bCs/>
                <w:lang w:val="en-US"/>
              </w:rPr>
              <w:t>Specialty: 6-05-0532-01 "Geography"</w:t>
            </w:r>
          </w:p>
          <w:p w:rsidR="009645B9" w:rsidRPr="009645B9" w:rsidRDefault="009645B9" w:rsidP="009645B9">
            <w:pPr>
              <w:jc w:val="center"/>
              <w:rPr>
                <w:bCs/>
                <w:lang w:val="en-US"/>
              </w:rPr>
            </w:pPr>
            <w:r w:rsidRPr="009645B9">
              <w:rPr>
                <w:bCs/>
                <w:lang w:val="en-US"/>
              </w:rPr>
              <w:t>Cycle of special disciplines:</w:t>
            </w:r>
          </w:p>
          <w:p w:rsidR="009645B9" w:rsidRPr="009645B9" w:rsidRDefault="009645B9" w:rsidP="009645B9">
            <w:pPr>
              <w:jc w:val="center"/>
              <w:rPr>
                <w:bCs/>
                <w:lang w:val="en-US"/>
              </w:rPr>
            </w:pPr>
            <w:r w:rsidRPr="009645B9">
              <w:rPr>
                <w:bCs/>
                <w:lang w:val="en-US"/>
              </w:rPr>
              <w:t>educational institution component</w:t>
            </w:r>
          </w:p>
          <w:p w:rsidR="0081556A" w:rsidRPr="00DB247B" w:rsidRDefault="0081556A" w:rsidP="009645B9">
            <w:pPr>
              <w:jc w:val="center"/>
              <w:rPr>
                <w:bCs/>
                <w:lang w:val="en-US"/>
              </w:rPr>
            </w:pPr>
          </w:p>
        </w:tc>
      </w:tr>
      <w:tr w:rsidR="0081556A" w:rsidRPr="004F7522" w:rsidTr="00665BE3">
        <w:tc>
          <w:tcPr>
            <w:tcW w:w="3256" w:type="dxa"/>
            <w:shd w:val="clear" w:color="auto" w:fill="auto"/>
          </w:tcPr>
          <w:p w:rsidR="0081556A" w:rsidRPr="0019369C" w:rsidRDefault="0081556A" w:rsidP="00665BE3">
            <w:pPr>
              <w:rPr>
                <w:b/>
              </w:rPr>
            </w:pPr>
            <w:proofErr w:type="spellStart"/>
            <w:r w:rsidRPr="00DB247B">
              <w:rPr>
                <w:b/>
              </w:rPr>
              <w:t>Summary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:rsidR="0081556A" w:rsidRPr="00DB247B" w:rsidRDefault="009645B9" w:rsidP="00665BE3">
            <w:pPr>
              <w:pStyle w:val="a3"/>
              <w:spacing w:line="240" w:lineRule="auto"/>
              <w:ind w:firstLine="567"/>
              <w:rPr>
                <w:sz w:val="24"/>
                <w:lang w:val="en-US"/>
              </w:rPr>
            </w:pPr>
            <w:r w:rsidRPr="009645B9">
              <w:rPr>
                <w:bCs/>
                <w:sz w:val="24"/>
                <w:lang w:val="en-US"/>
              </w:rPr>
              <w:t xml:space="preserve">The physical geography of the Gomel region is a training course that is an integral part of the physical geography of Belarus and </w:t>
            </w:r>
            <w:proofErr w:type="gramStart"/>
            <w:r w:rsidRPr="009645B9">
              <w:rPr>
                <w:bCs/>
                <w:sz w:val="24"/>
                <w:lang w:val="en-US"/>
              </w:rPr>
              <w:t>is designed</w:t>
            </w:r>
            <w:proofErr w:type="gramEnd"/>
            <w:r w:rsidRPr="009645B9">
              <w:rPr>
                <w:bCs/>
                <w:sz w:val="24"/>
                <w:lang w:val="en-US"/>
              </w:rPr>
              <w:t xml:space="preserve"> to deepen and generalize the knowledge of students about the diversity of nature of one of the largest and most dynamically developing regions of the republic. The need for this course </w:t>
            </w:r>
            <w:proofErr w:type="gramStart"/>
            <w:r w:rsidRPr="009645B9">
              <w:rPr>
                <w:bCs/>
                <w:sz w:val="24"/>
                <w:lang w:val="en-US"/>
              </w:rPr>
              <w:t>is determined</w:t>
            </w:r>
            <w:proofErr w:type="gramEnd"/>
            <w:r w:rsidRPr="009645B9">
              <w:rPr>
                <w:bCs/>
                <w:sz w:val="24"/>
                <w:lang w:val="en-US"/>
              </w:rPr>
              <w:t xml:space="preserve"> by the importance of environmental management and environmental issues. The content of the discipline contributes to the implementation of the local history principle in teaching geography.</w:t>
            </w:r>
          </w:p>
        </w:tc>
      </w:tr>
      <w:tr w:rsidR="0081556A" w:rsidRPr="009645B9" w:rsidTr="00665BE3">
        <w:tc>
          <w:tcPr>
            <w:tcW w:w="3256" w:type="dxa"/>
            <w:shd w:val="clear" w:color="auto" w:fill="auto"/>
          </w:tcPr>
          <w:p w:rsidR="0081556A" w:rsidRPr="0019369C" w:rsidRDefault="0081556A" w:rsidP="00665BE3">
            <w:pPr>
              <w:rPr>
                <w:b/>
              </w:rPr>
            </w:pPr>
            <w:proofErr w:type="spellStart"/>
            <w:r w:rsidRPr="00DB247B">
              <w:rPr>
                <w:b/>
              </w:rPr>
              <w:t>Emerging</w:t>
            </w:r>
            <w:proofErr w:type="spellEnd"/>
            <w:r w:rsidRPr="00DB247B">
              <w:rPr>
                <w:b/>
              </w:rPr>
              <w:t xml:space="preserve"> </w:t>
            </w:r>
            <w:proofErr w:type="spellStart"/>
            <w:r w:rsidRPr="00DB247B">
              <w:rPr>
                <w:b/>
              </w:rPr>
              <w:t>competencies</w:t>
            </w:r>
            <w:proofErr w:type="spellEnd"/>
            <w:r w:rsidRPr="00DB247B">
              <w:rPr>
                <w:b/>
              </w:rPr>
              <w:t xml:space="preserve">, </w:t>
            </w:r>
            <w:proofErr w:type="spellStart"/>
            <w:r w:rsidRPr="00DB247B">
              <w:rPr>
                <w:b/>
              </w:rPr>
              <w:t>learning</w:t>
            </w:r>
            <w:proofErr w:type="spellEnd"/>
            <w:r w:rsidRPr="00DB247B">
              <w:rPr>
                <w:b/>
              </w:rPr>
              <w:t xml:space="preserve"> </w:t>
            </w:r>
            <w:proofErr w:type="spellStart"/>
            <w:r w:rsidRPr="00DB247B">
              <w:rPr>
                <w:b/>
              </w:rPr>
              <w:t>outcomes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:rsidR="009645B9" w:rsidRPr="009645B9" w:rsidRDefault="009645B9" w:rsidP="009645B9">
            <w:pPr>
              <w:pStyle w:val="1"/>
              <w:tabs>
                <w:tab w:val="left" w:pos="84"/>
              </w:tabs>
              <w:ind w:hanging="58"/>
              <w:rPr>
                <w:sz w:val="24"/>
                <w:szCs w:val="24"/>
                <w:lang w:val="en-US"/>
              </w:rPr>
            </w:pPr>
            <w:r w:rsidRPr="009645B9">
              <w:rPr>
                <w:sz w:val="24"/>
                <w:szCs w:val="24"/>
                <w:lang w:val="en-US"/>
              </w:rPr>
              <w:t>Basic professional competencies</w:t>
            </w:r>
          </w:p>
          <w:p w:rsidR="009645B9" w:rsidRPr="009645B9" w:rsidRDefault="009645B9" w:rsidP="009645B9">
            <w:pPr>
              <w:pStyle w:val="1"/>
              <w:tabs>
                <w:tab w:val="left" w:pos="84"/>
              </w:tabs>
              <w:ind w:hanging="58"/>
              <w:rPr>
                <w:sz w:val="24"/>
                <w:szCs w:val="24"/>
                <w:lang w:val="en-US"/>
              </w:rPr>
            </w:pPr>
            <w:r w:rsidRPr="009645B9">
              <w:rPr>
                <w:sz w:val="24"/>
                <w:szCs w:val="24"/>
                <w:lang w:val="en-US"/>
              </w:rPr>
              <w:t xml:space="preserve">know: features of the territorial location of natural components, natural complexes and natural resources within the Gomel region; regularities of physical and geographical processes; </w:t>
            </w:r>
            <w:proofErr w:type="spellStart"/>
            <w:r w:rsidRPr="009645B9">
              <w:rPr>
                <w:sz w:val="24"/>
                <w:szCs w:val="24"/>
                <w:lang w:val="en-US"/>
              </w:rPr>
              <w:t>spatio</w:t>
            </w:r>
            <w:proofErr w:type="spellEnd"/>
            <w:r w:rsidRPr="009645B9">
              <w:rPr>
                <w:sz w:val="24"/>
                <w:szCs w:val="24"/>
                <w:lang w:val="en-US"/>
              </w:rPr>
              <w:t>-temporal features of changes in relief, climate, hydrography, soil and vegetation cover and wildlife as a result of natural processes and economic activity.</w:t>
            </w:r>
          </w:p>
          <w:p w:rsidR="0081556A" w:rsidRDefault="009645B9" w:rsidP="009645B9">
            <w:pPr>
              <w:pStyle w:val="1"/>
              <w:tabs>
                <w:tab w:val="left" w:pos="84"/>
              </w:tabs>
              <w:ind w:hanging="58"/>
              <w:rPr>
                <w:sz w:val="24"/>
                <w:szCs w:val="24"/>
                <w:lang w:val="en-US"/>
              </w:rPr>
            </w:pPr>
            <w:proofErr w:type="gramStart"/>
            <w:r w:rsidRPr="009645B9">
              <w:rPr>
                <w:sz w:val="24"/>
                <w:szCs w:val="24"/>
                <w:lang w:val="en-US"/>
              </w:rPr>
              <w:t>be</w:t>
            </w:r>
            <w:proofErr w:type="gramEnd"/>
            <w:r w:rsidRPr="009645B9">
              <w:rPr>
                <w:sz w:val="24"/>
                <w:szCs w:val="24"/>
                <w:lang w:val="en-US"/>
              </w:rPr>
              <w:t xml:space="preserve"> able to: analyze literary, stock and statistical sources on the state of natural resources of the Gomel region; choose the best use of natural resources; predict the development of natural complexes in the region.</w:t>
            </w:r>
          </w:p>
          <w:p w:rsidR="009645B9" w:rsidRPr="00DB247B" w:rsidRDefault="009645B9" w:rsidP="009645B9">
            <w:pPr>
              <w:pStyle w:val="1"/>
              <w:tabs>
                <w:tab w:val="left" w:pos="84"/>
              </w:tabs>
              <w:ind w:hanging="58"/>
              <w:rPr>
                <w:sz w:val="24"/>
                <w:szCs w:val="24"/>
                <w:lang w:val="en-US"/>
              </w:rPr>
            </w:pPr>
            <w:proofErr w:type="gramStart"/>
            <w:r w:rsidRPr="009645B9">
              <w:rPr>
                <w:sz w:val="24"/>
                <w:szCs w:val="24"/>
                <w:lang w:val="en-US"/>
              </w:rPr>
              <w:t xml:space="preserve">own: statistical methods for calculating indicators characterizing the environmental aspects of assessing natural complexes; methods of plotting and diagrams, </w:t>
            </w:r>
            <w:proofErr w:type="spellStart"/>
            <w:r w:rsidRPr="009645B9">
              <w:rPr>
                <w:sz w:val="24"/>
                <w:szCs w:val="24"/>
                <w:lang w:val="en-US"/>
              </w:rPr>
              <w:t>geoinformation</w:t>
            </w:r>
            <w:proofErr w:type="spellEnd"/>
            <w:r w:rsidRPr="009645B9">
              <w:rPr>
                <w:sz w:val="24"/>
                <w:szCs w:val="24"/>
                <w:lang w:val="en-US"/>
              </w:rPr>
              <w:t xml:space="preserve"> modeling, software GIS packages; methodological approaches to substantiating the territorial location of natural complexes of the Gomel region and determining the direction of rational environmental management; geographical nomenclature for natural objects of the Gomel region; skills of presentation of the results of educational research tasks; principles and methods of discussion of problematic issues.</w:t>
            </w:r>
            <w:proofErr w:type="gramEnd"/>
          </w:p>
        </w:tc>
      </w:tr>
      <w:tr w:rsidR="0081556A" w:rsidRPr="009645B9" w:rsidTr="00665BE3">
        <w:tc>
          <w:tcPr>
            <w:tcW w:w="3256" w:type="dxa"/>
            <w:shd w:val="clear" w:color="auto" w:fill="auto"/>
          </w:tcPr>
          <w:p w:rsidR="0081556A" w:rsidRPr="0019369C" w:rsidRDefault="0081556A" w:rsidP="00665BE3">
            <w:pPr>
              <w:rPr>
                <w:b/>
              </w:rPr>
            </w:pPr>
            <w:proofErr w:type="spellStart"/>
            <w:r w:rsidRPr="00DB247B">
              <w:rPr>
                <w:b/>
              </w:rPr>
              <w:t>Prerequisites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:rsidR="0081556A" w:rsidRPr="009645B9" w:rsidRDefault="009645B9" w:rsidP="009645B9">
            <w:pPr>
              <w:jc w:val="both"/>
              <w:rPr>
                <w:lang w:val="en-US"/>
              </w:rPr>
            </w:pPr>
            <w:r w:rsidRPr="009645B9">
              <w:rPr>
                <w:lang w:val="en-US"/>
              </w:rPr>
              <w:t>Soil Science, Meteorology and Climatology, Geomorp</w:t>
            </w:r>
            <w:r>
              <w:rPr>
                <w:lang w:val="en-US"/>
              </w:rPr>
              <w:t>hology, Hydrology, Geochemistry</w:t>
            </w:r>
          </w:p>
        </w:tc>
      </w:tr>
      <w:tr w:rsidR="0081556A" w:rsidRPr="009645B9" w:rsidTr="00665BE3">
        <w:tc>
          <w:tcPr>
            <w:tcW w:w="3256" w:type="dxa"/>
            <w:shd w:val="clear" w:color="auto" w:fill="auto"/>
          </w:tcPr>
          <w:p w:rsidR="0081556A" w:rsidRPr="0019369C" w:rsidRDefault="0081556A" w:rsidP="00665BE3">
            <w:pPr>
              <w:rPr>
                <w:b/>
              </w:rPr>
            </w:pPr>
            <w:proofErr w:type="spellStart"/>
            <w:r w:rsidRPr="00DB247B">
              <w:rPr>
                <w:b/>
              </w:rPr>
              <w:t>Labor</w:t>
            </w:r>
            <w:proofErr w:type="spellEnd"/>
            <w:r w:rsidRPr="00DB247B">
              <w:rPr>
                <w:b/>
              </w:rPr>
              <w:t xml:space="preserve"> </w:t>
            </w:r>
            <w:proofErr w:type="spellStart"/>
            <w:r w:rsidRPr="00DB247B">
              <w:rPr>
                <w:b/>
              </w:rPr>
              <w:t>intensity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:rsidR="0081556A" w:rsidRPr="00DB247B" w:rsidRDefault="009645B9" w:rsidP="009645B9">
            <w:pPr>
              <w:jc w:val="both"/>
              <w:rPr>
                <w:lang w:val="en-US"/>
              </w:rPr>
            </w:pPr>
            <w:r w:rsidRPr="009645B9">
              <w:rPr>
                <w:lang w:val="en-US"/>
              </w:rPr>
              <w:t xml:space="preserve">Total number of hours - 98 hours (credits - 2.5); classroom number of hours - 40, of which: lectures - 20, </w:t>
            </w:r>
            <w:r>
              <w:rPr>
                <w:lang w:val="en-US"/>
              </w:rPr>
              <w:t>practical exercises - 20 hours.</w:t>
            </w:r>
          </w:p>
        </w:tc>
      </w:tr>
      <w:tr w:rsidR="0081556A" w:rsidRPr="009645B9" w:rsidTr="00665BE3">
        <w:tc>
          <w:tcPr>
            <w:tcW w:w="3256" w:type="dxa"/>
            <w:shd w:val="clear" w:color="auto" w:fill="auto"/>
          </w:tcPr>
          <w:p w:rsidR="0081556A" w:rsidRPr="00DB247B" w:rsidRDefault="0081556A" w:rsidP="00665BE3">
            <w:pPr>
              <w:rPr>
                <w:b/>
                <w:lang w:val="en-US"/>
              </w:rPr>
            </w:pPr>
            <w:r w:rsidRPr="00DB247B">
              <w:rPr>
                <w:b/>
                <w:lang w:val="en-US"/>
              </w:rPr>
              <w:t>Semester(s), requirements and forms of current and intermediate certification</w:t>
            </w:r>
          </w:p>
        </w:tc>
        <w:tc>
          <w:tcPr>
            <w:tcW w:w="6089" w:type="dxa"/>
            <w:shd w:val="clear" w:color="auto" w:fill="auto"/>
          </w:tcPr>
          <w:p w:rsidR="0081556A" w:rsidRPr="00DB247B" w:rsidRDefault="009645B9" w:rsidP="00665BE3">
            <w:pPr>
              <w:jc w:val="both"/>
              <w:rPr>
                <w:lang w:val="en-US"/>
              </w:rPr>
            </w:pPr>
            <w:r w:rsidRPr="009645B9">
              <w:rPr>
                <w:lang w:val="en-US"/>
              </w:rPr>
              <w:t>Intermediate certification form - test work. Current Assessment Form - Semester 3 Credit</w:t>
            </w:r>
          </w:p>
        </w:tc>
      </w:tr>
    </w:tbl>
    <w:p w:rsidR="00885935" w:rsidRPr="0081556A" w:rsidRDefault="00885935">
      <w:pPr>
        <w:rPr>
          <w:lang w:val="en-US"/>
        </w:rPr>
      </w:pPr>
      <w:bookmarkStart w:id="0" w:name="_GoBack"/>
      <w:bookmarkEnd w:id="0"/>
    </w:p>
    <w:sectPr w:rsidR="00885935" w:rsidRPr="008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6A"/>
    <w:rsid w:val="001B2637"/>
    <w:rsid w:val="004634E8"/>
    <w:rsid w:val="0081556A"/>
    <w:rsid w:val="00885935"/>
    <w:rsid w:val="0095429C"/>
    <w:rsid w:val="0096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B4C"/>
  <w15:chartTrackingRefBased/>
  <w15:docId w15:val="{354D9CFD-F5F2-4C8C-8302-761C2BF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56A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55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8155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Marina</cp:lastModifiedBy>
  <cp:revision>2</cp:revision>
  <dcterms:created xsi:type="dcterms:W3CDTF">2025-02-07T07:23:00Z</dcterms:created>
  <dcterms:modified xsi:type="dcterms:W3CDTF">2025-02-11T17:04:00Z</dcterms:modified>
</cp:coreProperties>
</file>